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D7A9" w14:textId="4F8AEEA2" w:rsidR="0088525D" w:rsidRDefault="00B81CA5">
      <w:pPr>
        <w:pStyle w:val="af1"/>
        <w:tabs>
          <w:tab w:val="clear" w:pos="4153"/>
          <w:tab w:val="center" w:pos="7938"/>
        </w:tabs>
        <w:spacing w:after="0"/>
        <w:rPr>
          <w:rFonts w:ascii="Arial" w:eastAsia="MS Mincho" w:hAnsi="Arial"/>
          <w:b/>
          <w:sz w:val="22"/>
          <w:szCs w:val="22"/>
        </w:rPr>
      </w:pPr>
      <w:bookmarkStart w:id="0" w:name="_Ref494746248"/>
      <w:r>
        <w:rPr>
          <w:rFonts w:ascii="Arial" w:eastAsia="MS Mincho" w:hAnsi="Arial"/>
          <w:b/>
          <w:sz w:val="22"/>
          <w:szCs w:val="22"/>
        </w:rPr>
        <w:t>3GPP TSG RAN WG1#11</w:t>
      </w:r>
      <w:r w:rsidR="00D833C0">
        <w:rPr>
          <w:rFonts w:ascii="Arial" w:eastAsia="MS Mincho" w:hAnsi="Arial"/>
          <w:b/>
          <w:sz w:val="22"/>
          <w:szCs w:val="22"/>
        </w:rPr>
        <w:t>6</w:t>
      </w:r>
      <w:r>
        <w:rPr>
          <w:rFonts w:ascii="Arial" w:eastAsia="MS Mincho" w:hAnsi="Arial"/>
          <w:b/>
          <w:sz w:val="22"/>
          <w:szCs w:val="22"/>
        </w:rPr>
        <w:tab/>
        <w:t xml:space="preserve">                                 </w:t>
      </w:r>
      <w:r w:rsidR="0001086B" w:rsidRPr="0001086B">
        <w:rPr>
          <w:rFonts w:ascii="Arial" w:eastAsia="MS Mincho" w:hAnsi="Arial"/>
          <w:b/>
          <w:sz w:val="22"/>
          <w:szCs w:val="22"/>
        </w:rPr>
        <w:t>R1-2400298</w:t>
      </w:r>
    </w:p>
    <w:p w14:paraId="439C5618" w14:textId="77777777" w:rsidR="006A357B" w:rsidRDefault="006A357B" w:rsidP="006A357B">
      <w:pPr>
        <w:rPr>
          <w:rFonts w:ascii="Arial" w:hAnsi="Arial" w:cs="Arial"/>
          <w:sz w:val="22"/>
          <w:szCs w:val="22"/>
        </w:rPr>
      </w:pPr>
      <w:r>
        <w:rPr>
          <w:rFonts w:ascii="Arial" w:hAnsi="Arial" w:cs="Arial"/>
          <w:b/>
          <w:sz w:val="22"/>
          <w:szCs w:val="22"/>
          <w:lang w:eastAsia="ja-JP"/>
        </w:rPr>
        <w:t>Athens, Greece, February 26</w:t>
      </w:r>
      <w:r>
        <w:rPr>
          <w:rFonts w:ascii="Arial" w:hAnsi="Arial" w:cs="Arial" w:hint="eastAsia"/>
          <w:b/>
          <w:sz w:val="22"/>
          <w:szCs w:val="22"/>
          <w:vertAlign w:val="superscript"/>
          <w:lang w:eastAsia="ko-KR"/>
        </w:rPr>
        <w:t>th</w:t>
      </w:r>
      <w:r>
        <w:rPr>
          <w:rFonts w:ascii="Arial" w:hAnsi="Arial" w:cs="Arial"/>
          <w:b/>
          <w:sz w:val="22"/>
          <w:szCs w:val="22"/>
          <w:lang w:eastAsia="ja-JP"/>
        </w:rPr>
        <w:t xml:space="preserve"> </w:t>
      </w:r>
      <w:r>
        <w:rPr>
          <w:rFonts w:ascii="Arial" w:hAnsi="Arial" w:cs="Arial"/>
          <w:b/>
          <w:sz w:val="22"/>
          <w:szCs w:val="22"/>
        </w:rPr>
        <w:t>– March 1</w:t>
      </w:r>
      <w:r>
        <w:rPr>
          <w:rFonts w:ascii="Arial" w:hAnsi="Arial" w:cs="Arial"/>
          <w:b/>
          <w:sz w:val="22"/>
          <w:szCs w:val="22"/>
          <w:vertAlign w:val="superscript"/>
        </w:rPr>
        <w:t>st</w:t>
      </w:r>
      <w:r>
        <w:rPr>
          <w:rFonts w:ascii="Arial" w:hAnsi="Arial" w:cs="Arial"/>
          <w:b/>
          <w:sz w:val="22"/>
          <w:szCs w:val="22"/>
          <w:lang w:eastAsia="ja-JP"/>
        </w:rPr>
        <w:t>, 2024</w:t>
      </w:r>
    </w:p>
    <w:p w14:paraId="5F9FBF8B" w14:textId="77777777" w:rsidR="0088525D" w:rsidRPr="006A357B" w:rsidRDefault="0088525D">
      <w:pPr>
        <w:tabs>
          <w:tab w:val="left" w:pos="1418"/>
        </w:tabs>
        <w:spacing w:after="0"/>
        <w:rPr>
          <w:rFonts w:ascii="Arial" w:hAnsi="Arial"/>
          <w:b/>
        </w:rPr>
      </w:pPr>
    </w:p>
    <w:p w14:paraId="0E8415C2" w14:textId="77777777" w:rsidR="0088525D" w:rsidRDefault="00B81CA5">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features for MC enhancements</w:t>
      </w:r>
    </w:p>
    <w:p w14:paraId="7C437A48" w14:textId="77777777" w:rsidR="0088525D" w:rsidRDefault="00B81CA5">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14:paraId="43B70EF2" w14:textId="77777777" w:rsidR="0088525D" w:rsidRDefault="00B81CA5">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8.1</w:t>
      </w:r>
      <w:r w:rsidR="00C668D5">
        <w:rPr>
          <w:rFonts w:ascii="Arial" w:hAnsi="Arial"/>
          <w:b/>
        </w:rPr>
        <w:t>2</w:t>
      </w:r>
      <w:r>
        <w:rPr>
          <w:rFonts w:ascii="Arial" w:hAnsi="Arial"/>
          <w:b/>
        </w:rPr>
        <w:t>.</w:t>
      </w:r>
      <w:r w:rsidR="00C668D5">
        <w:rPr>
          <w:rFonts w:ascii="Arial" w:hAnsi="Arial"/>
          <w:b/>
        </w:rPr>
        <w:t>4</w:t>
      </w:r>
    </w:p>
    <w:p w14:paraId="60C53E3E" w14:textId="77777777" w:rsidR="0088525D" w:rsidRDefault="00B81CA5">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14:paraId="09F1B2AF" w14:textId="77777777" w:rsidR="0088525D" w:rsidRDefault="00B81CA5">
      <w:pPr>
        <w:pStyle w:val="1"/>
        <w:pBdr>
          <w:top w:val="single" w:sz="12" w:space="0" w:color="auto"/>
        </w:pBdr>
      </w:pPr>
      <w:bookmarkStart w:id="2" w:name="_Ref4817"/>
      <w:r>
        <w:t>Introduction</w:t>
      </w:r>
      <w:bookmarkEnd w:id="0"/>
      <w:bookmarkEnd w:id="2"/>
    </w:p>
    <w:p w14:paraId="1860951B" w14:textId="77777777" w:rsidR="0088525D" w:rsidRDefault="00B81CA5">
      <w:pPr>
        <w:rPr>
          <w:lang w:eastAsia="zh-CN"/>
        </w:rPr>
      </w:pPr>
      <w:r>
        <w:rPr>
          <w:lang w:eastAsia="zh-CN"/>
        </w:rPr>
        <w:t>After RAN1#112 meeting, the WI “multi-carrier enhancements” has been completed from RAN1 perspective. In this contribution, we provide our views on UE features for multi-cell scheduling.</w:t>
      </w:r>
    </w:p>
    <w:p w14:paraId="4C44E2C2" w14:textId="77777777" w:rsidR="0088525D" w:rsidRDefault="00B81CA5">
      <w:pPr>
        <w:pStyle w:val="1"/>
        <w:pBdr>
          <w:top w:val="single" w:sz="12" w:space="0" w:color="auto"/>
        </w:pBdr>
      </w:pPr>
      <w:r>
        <w:t>UE features for multi-cell scheduling</w:t>
      </w:r>
    </w:p>
    <w:p w14:paraId="09BBFDED" w14:textId="2A975FFB" w:rsidR="0088525D" w:rsidRDefault="00B81CA5">
      <w:pPr>
        <w:rPr>
          <w:lang w:eastAsia="zh-CN"/>
        </w:rPr>
      </w:pPr>
      <w:bookmarkStart w:id="3" w:name="OLE_LINK15"/>
      <w:r>
        <w:rPr>
          <w:lang w:eastAsia="zh-CN"/>
        </w:rPr>
        <w:t xml:space="preserve">For the FG 49-1/1b and FG 49-2/2b, some components are the same. The same component is discussed together. </w:t>
      </w:r>
    </w:p>
    <w:p w14:paraId="0C093196" w14:textId="77777777" w:rsidR="0088525D" w:rsidRDefault="00B81CA5">
      <w:pPr>
        <w:pStyle w:val="aff5"/>
        <w:numPr>
          <w:ilvl w:val="0"/>
          <w:numId w:val="14"/>
        </w:numPr>
        <w:rPr>
          <w:b/>
          <w:lang w:val="en-US" w:eastAsia="zh-CN"/>
        </w:rPr>
      </w:pPr>
      <w:r>
        <w:rPr>
          <w:rFonts w:hint="eastAsia"/>
          <w:b/>
          <w:lang w:val="en-US" w:eastAsia="zh-CN"/>
        </w:rPr>
        <w:t>W</w:t>
      </w:r>
      <w:r>
        <w:rPr>
          <w:b/>
          <w:lang w:val="en-US" w:eastAsia="zh-CN"/>
        </w:rPr>
        <w:t xml:space="preserve">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88525D" w14:paraId="7B288C78" w14:textId="77777777">
        <w:tc>
          <w:tcPr>
            <w:tcW w:w="9629" w:type="dxa"/>
          </w:tcPr>
          <w:p w14:paraId="57BFFBB7" w14:textId="77777777" w:rsidR="0088525D" w:rsidRDefault="00B81CA5">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5DA1D47F" w14:textId="77777777" w:rsidR="0088525D" w:rsidRDefault="00B81CA5">
      <w:pPr>
        <w:spacing w:beforeLines="50" w:before="120"/>
        <w:rPr>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cell for a set and the scheduled cell scheduled by another cell as well. It is not in line with the legacy principle. It should not be supported at this stage.</w:t>
      </w:r>
    </w:p>
    <w:p w14:paraId="2462048C" w14:textId="77777777" w:rsidR="0088525D" w:rsidRDefault="00B81CA5">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14:paraId="2031DCD5" w14:textId="4D977EBC" w:rsidR="0088525D" w:rsidRDefault="00B81CA5">
      <w:pPr>
        <w:pStyle w:val="aff5"/>
        <w:numPr>
          <w:ilvl w:val="0"/>
          <w:numId w:val="14"/>
        </w:numPr>
        <w:rPr>
          <w:b/>
          <w:lang w:val="en-US" w:eastAsia="zh-CN"/>
        </w:rPr>
      </w:pPr>
      <w:r>
        <w:rPr>
          <w:rFonts w:hint="eastAsia"/>
          <w:b/>
          <w:lang w:val="en-US" w:eastAsia="zh-CN"/>
        </w:rPr>
        <w:t>T</w:t>
      </w:r>
      <w:r>
        <w:rPr>
          <w:b/>
          <w:lang w:val="en-US" w:eastAsia="zh-CN"/>
        </w:rPr>
        <w:t xml:space="preserve">he number of unicast DCI </w:t>
      </w:r>
      <w:r w:rsidR="008330CA">
        <w:rPr>
          <w:b/>
          <w:lang w:val="en-US" w:eastAsia="zh-CN"/>
        </w:rPr>
        <w:t>(FG 49-2/FG 49-2b)</w:t>
      </w:r>
    </w:p>
    <w:p w14:paraId="33F18948" w14:textId="00A3E83F" w:rsidR="0088525D" w:rsidRDefault="00B02A1C">
      <w:pPr>
        <w:spacing w:beforeLines="50" w:before="120"/>
        <w:rPr>
          <w:lang w:val="en-US" w:eastAsia="zh-CN"/>
        </w:rPr>
      </w:pPr>
      <w:r>
        <w:rPr>
          <w:lang w:val="en-US" w:eastAsia="zh-CN"/>
        </w:rPr>
        <w:t>Regarding</w:t>
      </w:r>
      <w:r w:rsidR="00B81CA5">
        <w:rPr>
          <w:lang w:val="en-US" w:eastAsia="zh-CN"/>
        </w:rPr>
        <w:t xml:space="preserve"> the DCI processing, the following was agreed in RAN1#</w:t>
      </w:r>
      <w:r w:rsidR="0061174C">
        <w:rPr>
          <w:lang w:val="en-US" w:eastAsia="zh-CN"/>
        </w:rPr>
        <w:t>115</w:t>
      </w:r>
      <w:r w:rsidR="00B81CA5">
        <w:rPr>
          <w:lang w:val="en-US" w:eastAsia="zh-CN"/>
        </w:rPr>
        <w:t>.</w:t>
      </w:r>
    </w:p>
    <w:tbl>
      <w:tblPr>
        <w:tblStyle w:val="afd"/>
        <w:tblW w:w="0" w:type="auto"/>
        <w:tblLook w:val="04A0" w:firstRow="1" w:lastRow="0" w:firstColumn="1" w:lastColumn="0" w:noHBand="0" w:noVBand="1"/>
      </w:tblPr>
      <w:tblGrid>
        <w:gridCol w:w="9629"/>
      </w:tblGrid>
      <w:tr w:rsidR="0088525D" w14:paraId="6A06FB14" w14:textId="77777777">
        <w:tc>
          <w:tcPr>
            <w:tcW w:w="9629" w:type="dxa"/>
          </w:tcPr>
          <w:p w14:paraId="542C67F2" w14:textId="77777777" w:rsidR="0061174C" w:rsidRPr="0061174C" w:rsidRDefault="0061174C" w:rsidP="0061174C">
            <w:pPr>
              <w:snapToGrid/>
              <w:spacing w:before="0" w:after="0" w:line="240" w:lineRule="auto"/>
              <w:jc w:val="left"/>
              <w:rPr>
                <w:rFonts w:eastAsia="MS Gothic"/>
                <w:b/>
                <w:bCs/>
                <w:iCs/>
                <w:sz w:val="22"/>
                <w:szCs w:val="22"/>
                <w:lang w:val="en-US" w:eastAsia="zh-CN"/>
              </w:rPr>
            </w:pPr>
            <w:r w:rsidRPr="0061174C">
              <w:rPr>
                <w:rFonts w:ascii="Times" w:eastAsia="Batang" w:hAnsi="Times" w:cs="Times"/>
                <w:b/>
                <w:bCs/>
                <w:sz w:val="22"/>
                <w:szCs w:val="22"/>
                <w:highlight w:val="green"/>
                <w:lang w:val="en-US" w:eastAsia="zh-CN"/>
              </w:rPr>
              <w:t>Agreement</w:t>
            </w:r>
          </w:p>
          <w:p w14:paraId="469C921E" w14:textId="77777777" w:rsidR="0061174C" w:rsidRPr="0061174C" w:rsidRDefault="0061174C" w:rsidP="0061174C">
            <w:p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For 49-2:</w:t>
            </w:r>
          </w:p>
          <w:p w14:paraId="7F9E759E" w14:textId="77777777" w:rsidR="0061174C" w:rsidRPr="0061174C" w:rsidRDefault="0061174C" w:rsidP="0061174C">
            <w:pPr>
              <w:numPr>
                <w:ilvl w:val="0"/>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Component 9 is confirmed as:</w:t>
            </w:r>
          </w:p>
          <w:p w14:paraId="7D131DBD" w14:textId="77777777" w:rsidR="0061174C" w:rsidRPr="0061174C" w:rsidRDefault="0061174C" w:rsidP="0061174C">
            <w:pPr>
              <w:numPr>
                <w:ilvl w:val="1"/>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The number of unicast UL DCIs to process per slot of scheduling cell for a set of cells configured for multi-cell PUSCH scheduling by DCI format 0_3</w:t>
            </w:r>
          </w:p>
          <w:p w14:paraId="6168D8DD" w14:textId="77777777" w:rsidR="0061174C" w:rsidRPr="0061174C" w:rsidRDefault="0061174C" w:rsidP="0061174C">
            <w:pPr>
              <w:numPr>
                <w:ilvl w:val="2"/>
                <w:numId w:val="19"/>
              </w:numPr>
              <w:snapToGrid/>
              <w:spacing w:before="0" w:after="0" w:line="240" w:lineRule="auto"/>
              <w:jc w:val="left"/>
              <w:rPr>
                <w:rFonts w:eastAsia="MS Mincho"/>
                <w:color w:val="000000"/>
                <w:sz w:val="22"/>
                <w:szCs w:val="22"/>
                <w:lang w:val="en-US" w:eastAsia="zh-CN"/>
              </w:rPr>
            </w:pPr>
            <w:r w:rsidRPr="0061174C">
              <w:rPr>
                <w:rFonts w:eastAsia="MS Gothic"/>
                <w:sz w:val="22"/>
                <w:szCs w:val="22"/>
                <w:lang w:val="en-US" w:eastAsia="zh-CN"/>
              </w:rPr>
              <w:t>For FDD scheduling cell</w:t>
            </w:r>
          </w:p>
          <w:p w14:paraId="0E548435"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[Up to] one DCI format 0_3 for the set of cells and,</w:t>
            </w:r>
          </w:p>
          <w:p w14:paraId="5B60AAA3"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[Up to] one unicast UL DCI formats 0_0/0_1/0_2 (if supported) for each of the cells</w:t>
            </w:r>
          </w:p>
          <w:p w14:paraId="267F10B3"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For a cell in a set of cells, no more than one DCI scheduling PUSCH for the cell</w:t>
            </w:r>
          </w:p>
          <w:p w14:paraId="73B06290" w14:textId="77777777" w:rsidR="0061174C" w:rsidRPr="0061174C" w:rsidRDefault="0061174C" w:rsidP="0061174C">
            <w:pPr>
              <w:numPr>
                <w:ilvl w:val="2"/>
                <w:numId w:val="19"/>
              </w:numPr>
              <w:snapToGrid/>
              <w:spacing w:before="0" w:after="0" w:line="240" w:lineRule="auto"/>
              <w:jc w:val="left"/>
              <w:rPr>
                <w:rFonts w:eastAsia="MS Mincho"/>
                <w:color w:val="000000"/>
                <w:sz w:val="22"/>
                <w:szCs w:val="22"/>
                <w:lang w:val="en-US" w:eastAsia="zh-CN"/>
              </w:rPr>
            </w:pPr>
            <w:r w:rsidRPr="0061174C">
              <w:rPr>
                <w:rFonts w:eastAsia="MS Gothic"/>
                <w:sz w:val="22"/>
                <w:szCs w:val="22"/>
                <w:lang w:val="en-US" w:eastAsia="zh-CN"/>
              </w:rPr>
              <w:t>For TDD scheduling cell</w:t>
            </w:r>
          </w:p>
          <w:p w14:paraId="50C22FB7"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[Up to] two DCI format 0_3 for the set of cells and,</w:t>
            </w:r>
          </w:p>
          <w:p w14:paraId="44AD4DA1"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[Up to] two unicast UL DCI formats 0_0/0_1/0_2 (if supported) for each of the cells</w:t>
            </w:r>
          </w:p>
          <w:p w14:paraId="478804A3" w14:textId="77777777" w:rsidR="0061174C" w:rsidRPr="0061174C" w:rsidRDefault="0061174C" w:rsidP="0061174C">
            <w:pPr>
              <w:numPr>
                <w:ilvl w:val="3"/>
                <w:numId w:val="19"/>
              </w:numPr>
              <w:snapToGrid/>
              <w:spacing w:before="0" w:after="0" w:line="240" w:lineRule="auto"/>
              <w:jc w:val="left"/>
              <w:rPr>
                <w:rFonts w:eastAsia="MS Mincho"/>
                <w:color w:val="000000"/>
                <w:sz w:val="22"/>
                <w:szCs w:val="22"/>
                <w:lang w:val="en-US" w:eastAsia="zh-CN"/>
              </w:rPr>
            </w:pPr>
            <w:r w:rsidRPr="0061174C">
              <w:rPr>
                <w:rFonts w:eastAsia="MS Mincho"/>
                <w:color w:val="000000"/>
                <w:sz w:val="22"/>
                <w:szCs w:val="22"/>
                <w:lang w:val="en-US" w:eastAsia="zh-CN"/>
              </w:rPr>
              <w:t>For a cell in a set of cells, no more than two DCI scheduling PUSCH for the cell</w:t>
            </w:r>
          </w:p>
          <w:p w14:paraId="4826B150" w14:textId="77777777" w:rsidR="0061174C" w:rsidRPr="0061174C" w:rsidRDefault="0061174C" w:rsidP="0061174C">
            <w:pPr>
              <w:numPr>
                <w:ilvl w:val="0"/>
                <w:numId w:val="19"/>
              </w:numPr>
              <w:snapToGrid/>
              <w:spacing w:before="0" w:after="0" w:line="240" w:lineRule="auto"/>
              <w:jc w:val="left"/>
              <w:rPr>
                <w:rFonts w:eastAsia="MS Mincho"/>
                <w:color w:val="000000"/>
                <w:sz w:val="22"/>
                <w:szCs w:val="22"/>
                <w:lang w:val="en-US" w:eastAsia="zh-CN"/>
              </w:rPr>
            </w:pPr>
            <w:r w:rsidRPr="0061174C">
              <w:rPr>
                <w:rFonts w:eastAsia="MS Mincho" w:hint="eastAsia"/>
                <w:color w:val="000000"/>
                <w:sz w:val="22"/>
                <w:szCs w:val="22"/>
                <w:lang w:val="en-US" w:eastAsia="zh-CN"/>
              </w:rPr>
              <w:t>A</w:t>
            </w:r>
            <w:r w:rsidRPr="0061174C">
              <w:rPr>
                <w:rFonts w:eastAsia="MS Mincho"/>
                <w:color w:val="000000"/>
                <w:sz w:val="22"/>
                <w:szCs w:val="22"/>
                <w:lang w:val="en-US" w:eastAsia="zh-CN"/>
              </w:rPr>
              <w:t>dd following note in FG 49-2:</w:t>
            </w:r>
          </w:p>
          <w:p w14:paraId="0F6D2A93" w14:textId="77777777" w:rsidR="0088525D" w:rsidRPr="0061174C" w:rsidRDefault="0061174C" w:rsidP="0061174C">
            <w:pPr>
              <w:numPr>
                <w:ilvl w:val="1"/>
                <w:numId w:val="19"/>
              </w:numPr>
              <w:snapToGrid/>
              <w:spacing w:before="0" w:after="0" w:line="240" w:lineRule="auto"/>
              <w:jc w:val="left"/>
              <w:rPr>
                <w:lang w:val="en-US" w:eastAsia="zh-CN"/>
              </w:rPr>
            </w:pPr>
            <w:r w:rsidRPr="0061174C">
              <w:rPr>
                <w:rFonts w:eastAsia="MS Mincho" w:hint="eastAsia"/>
                <w:color w:val="000000"/>
                <w:sz w:val="22"/>
                <w:szCs w:val="22"/>
                <w:lang w:val="en-US" w:eastAsia="zh-CN"/>
              </w:rPr>
              <w:t>S</w:t>
            </w:r>
            <w:r w:rsidRPr="0061174C">
              <w:rPr>
                <w:rFonts w:eastAsia="MS Mincho"/>
                <w:color w:val="000000"/>
                <w:sz w:val="22"/>
                <w:szCs w:val="22"/>
                <w:lang w:val="en-US" w:eastAsia="zh-CN"/>
              </w:rPr>
              <w:t>upport of CCS with UL DCI formats 0_1/0_2 is according to FG 6-10</w:t>
            </w:r>
          </w:p>
        </w:tc>
      </w:tr>
    </w:tbl>
    <w:p w14:paraId="28DB1884" w14:textId="1CAE969F" w:rsidR="0088525D" w:rsidRDefault="00EC5105">
      <w:pPr>
        <w:spacing w:beforeLines="50" w:before="120"/>
        <w:rPr>
          <w:lang w:val="en-US" w:eastAsia="zh-CN"/>
        </w:rPr>
      </w:pPr>
      <w:r>
        <w:rPr>
          <w:lang w:val="en-US" w:eastAsia="zh-CN"/>
        </w:rPr>
        <w:t xml:space="preserve">Since it has been agreed </w:t>
      </w:r>
      <w:r w:rsidR="00D83F3C">
        <w:rPr>
          <w:lang w:val="en-US" w:eastAsia="zh-CN"/>
        </w:rPr>
        <w:t>at most</w:t>
      </w:r>
      <w:r w:rsidR="003B316E">
        <w:rPr>
          <w:lang w:val="en-US" w:eastAsia="zh-CN"/>
        </w:rPr>
        <w:t xml:space="preserve"> one DCI schedules PUSCH for the cell in FDD and </w:t>
      </w:r>
      <w:r w:rsidR="00D83F3C">
        <w:rPr>
          <w:lang w:val="en-US" w:eastAsia="zh-CN"/>
        </w:rPr>
        <w:t>at most</w:t>
      </w:r>
      <w:r w:rsidR="003B316E">
        <w:rPr>
          <w:lang w:val="en-US" w:eastAsia="zh-CN"/>
        </w:rPr>
        <w:t xml:space="preserve"> two DCI schedules PUSCH for the cell in TDD. It means if a PUSCH on a cell is scheduled by the DCI format 0_3, the legacy DCI scheduling PUSCH on this cell is not allowed any more. This is also </w:t>
      </w:r>
      <w:r w:rsidR="0062719C">
        <w:rPr>
          <w:lang w:val="en-US" w:eastAsia="zh-CN"/>
        </w:rPr>
        <w:t>in line</w:t>
      </w:r>
      <w:r w:rsidR="003B316E">
        <w:rPr>
          <w:lang w:val="en-US" w:eastAsia="zh-CN"/>
        </w:rPr>
        <w:t xml:space="preserve"> with the DCI monitoring capability in FG 49-1 in principle. Since the UE capability should be clearly defined, 'up to' should be removed. Otherwise, the network still cannot know the </w:t>
      </w:r>
      <w:r w:rsidR="008330CA">
        <w:rPr>
          <w:lang w:val="en-US" w:eastAsia="zh-CN"/>
        </w:rPr>
        <w:t xml:space="preserve">exact </w:t>
      </w:r>
      <w:r w:rsidR="003B316E">
        <w:rPr>
          <w:lang w:val="en-US" w:eastAsia="zh-CN"/>
        </w:rPr>
        <w:t>UE capability.</w:t>
      </w:r>
    </w:p>
    <w:p w14:paraId="41635C6F" w14:textId="078118A2" w:rsidR="003B316E" w:rsidRPr="008330CA" w:rsidRDefault="003B316E">
      <w:pPr>
        <w:spacing w:beforeLines="50" w:before="120"/>
        <w:rPr>
          <w:i/>
          <w:lang w:val="en-US" w:eastAsia="zh-CN"/>
        </w:rPr>
      </w:pPr>
      <w:r w:rsidRPr="008330CA">
        <w:rPr>
          <w:b/>
          <w:i/>
          <w:lang w:val="en-US" w:eastAsia="zh-CN"/>
        </w:rPr>
        <w:t xml:space="preserve">Proposal </w:t>
      </w:r>
      <w:r w:rsidR="008330CA" w:rsidRPr="008330CA">
        <w:rPr>
          <w:b/>
          <w:i/>
          <w:lang w:val="en-US" w:eastAsia="zh-CN"/>
        </w:rPr>
        <w:t>2</w:t>
      </w:r>
      <w:r w:rsidRPr="008330CA">
        <w:rPr>
          <w:b/>
          <w:i/>
          <w:lang w:val="en-US" w:eastAsia="zh-CN"/>
        </w:rPr>
        <w:t>:</w:t>
      </w:r>
      <w:r w:rsidRPr="008330CA">
        <w:rPr>
          <w:i/>
          <w:lang w:val="en-US" w:eastAsia="zh-CN"/>
        </w:rPr>
        <w:t xml:space="preserve"> '[up to]' in the component 9 in FG 49-2 and FG 49-2b should be removed.</w:t>
      </w:r>
    </w:p>
    <w:p w14:paraId="5FE1078D" w14:textId="2E82A2DD" w:rsidR="0088525D" w:rsidRDefault="00B81CA5">
      <w:pPr>
        <w:pStyle w:val="aff5"/>
        <w:numPr>
          <w:ilvl w:val="0"/>
          <w:numId w:val="16"/>
        </w:numPr>
        <w:rPr>
          <w:b/>
          <w:lang w:val="en-US" w:eastAsia="zh-CN"/>
        </w:rPr>
      </w:pPr>
      <w:r>
        <w:rPr>
          <w:rFonts w:hint="eastAsia"/>
          <w:b/>
          <w:lang w:val="en-US" w:eastAsia="zh-CN"/>
        </w:rPr>
        <w:t>F</w:t>
      </w:r>
      <w:r>
        <w:rPr>
          <w:b/>
          <w:lang w:val="en-US" w:eastAsia="zh-CN"/>
        </w:rPr>
        <w:t>G 49-</w:t>
      </w:r>
      <w:r w:rsidR="00A37810">
        <w:rPr>
          <w:b/>
          <w:lang w:val="en-US" w:eastAsia="zh-CN"/>
        </w:rPr>
        <w:t>3x and FG 49-3y</w:t>
      </w:r>
    </w:p>
    <w:p w14:paraId="22955CD4" w14:textId="4A1C85B2" w:rsidR="00A37810" w:rsidRDefault="00A37810">
      <w:pPr>
        <w:rPr>
          <w:lang w:val="en-US" w:eastAsia="zh-CN"/>
        </w:rPr>
      </w:pPr>
      <w:r>
        <w:rPr>
          <w:lang w:val="en-US" w:eastAsia="zh-CN"/>
        </w:rPr>
        <w:t xml:space="preserve">In the previous meeting, an advanced UE capability on the PDCCH monitoring was discussed but the details are still FFS. The number of DCI that the UE can process in a PDCCH monitoring occasion is described from the scheduled cell perspective. </w:t>
      </w:r>
      <w:r w:rsidR="00093FC0">
        <w:rPr>
          <w:lang w:val="en-US" w:eastAsia="zh-CN"/>
        </w:rPr>
        <w:t xml:space="preserve">Similarly, for the MC scheduling, the number of MC DCI can be described from the set perspective. In the basic UE feature, it has been agreed that the number of the DCI is equal to the number of cells in the set. For the advanced UE capability, the UE can support additional MC DCI in addition to the legacy capability for single cell scheduling. </w:t>
      </w:r>
      <w:r w:rsidR="0062130F">
        <w:rPr>
          <w:lang w:val="en-US" w:eastAsia="zh-CN"/>
        </w:rPr>
        <w:t xml:space="preserve">When </w:t>
      </w:r>
      <w:r w:rsidR="0062130F">
        <w:rPr>
          <w:lang w:val="en-US" w:eastAsia="zh-CN"/>
        </w:rPr>
        <w:lastRenderedPageBreak/>
        <w:t>the UE report FG 49-3x or FG 49-3y</w:t>
      </w:r>
      <w:r w:rsidR="00093FC0">
        <w:rPr>
          <w:lang w:val="en-US" w:eastAsia="zh-CN"/>
        </w:rPr>
        <w:t xml:space="preserve">, the network may ignore the basic capability in FG 49-1/2. It also should be noted the BD/CCE keep unchanged as agreed in previous RAN1 meeting. </w:t>
      </w:r>
    </w:p>
    <w:p w14:paraId="249424B6" w14:textId="58CFFE6E" w:rsidR="0088525D" w:rsidRPr="00253342" w:rsidRDefault="00B81CA5">
      <w:pPr>
        <w:rPr>
          <w:i/>
          <w:lang w:val="en-US" w:eastAsia="zh-CN"/>
        </w:rPr>
      </w:pPr>
      <w:r w:rsidRPr="00253342">
        <w:rPr>
          <w:rFonts w:hint="eastAsia"/>
          <w:b/>
          <w:i/>
          <w:lang w:val="en-US" w:eastAsia="zh-CN"/>
        </w:rPr>
        <w:t>P</w:t>
      </w:r>
      <w:r w:rsidRPr="00253342">
        <w:rPr>
          <w:b/>
          <w:i/>
          <w:lang w:val="en-US" w:eastAsia="zh-CN"/>
        </w:rPr>
        <w:t xml:space="preserve">roposal </w:t>
      </w:r>
      <w:r w:rsidR="0075667B">
        <w:rPr>
          <w:b/>
          <w:i/>
          <w:lang w:val="en-US" w:eastAsia="zh-CN"/>
        </w:rPr>
        <w:t>3</w:t>
      </w:r>
      <w:r w:rsidRPr="00253342">
        <w:rPr>
          <w:b/>
          <w:i/>
          <w:lang w:val="en-US" w:eastAsia="zh-CN"/>
        </w:rPr>
        <w:t>:</w:t>
      </w:r>
      <w:r w:rsidRPr="00253342">
        <w:rPr>
          <w:i/>
          <w:lang w:val="en-US" w:eastAsia="zh-CN"/>
        </w:rPr>
        <w:t xml:space="preserve"> </w:t>
      </w:r>
      <w:r w:rsidR="00093FC0" w:rsidRPr="00253342">
        <w:rPr>
          <w:i/>
          <w:lang w:val="en-US" w:eastAsia="zh-CN"/>
        </w:rPr>
        <w:t>Introduce the following FG 49-3x and FG 49-3y</w:t>
      </w:r>
      <w:r w:rsidR="00253342">
        <w:rPr>
          <w:i/>
          <w:lang w:val="en-US" w:eastAsia="zh-CN"/>
        </w:rPr>
        <w:t xml:space="preserve"> and it should be reported per BC</w:t>
      </w:r>
      <w:r w:rsidR="00E746A1">
        <w:rPr>
          <w:i/>
          <w:lang w:val="en-US" w:eastAsia="zh-CN"/>
        </w:rPr>
        <w:t>.</w:t>
      </w:r>
    </w:p>
    <w:p w14:paraId="39A27317" w14:textId="5B17B01B" w:rsidR="00253342" w:rsidRPr="00253342" w:rsidRDefault="00B81CA5" w:rsidP="00620BBF">
      <w:pPr>
        <w:pStyle w:val="aff5"/>
        <w:numPr>
          <w:ilvl w:val="1"/>
          <w:numId w:val="20"/>
        </w:numPr>
        <w:rPr>
          <w:i/>
          <w:lang w:val="en-US" w:eastAsia="zh-CN"/>
        </w:rPr>
      </w:pPr>
      <w:r w:rsidRPr="00253342">
        <w:rPr>
          <w:i/>
          <w:lang w:val="en-US" w:eastAsia="zh-CN"/>
        </w:rPr>
        <w:t>FG 49-3</w:t>
      </w:r>
      <w:r w:rsidR="00093FC0" w:rsidRPr="00253342">
        <w:rPr>
          <w:i/>
          <w:lang w:val="en-US" w:eastAsia="zh-CN"/>
        </w:rPr>
        <w:t>x</w:t>
      </w:r>
      <w:r w:rsidRPr="00253342">
        <w:rPr>
          <w:i/>
          <w:lang w:val="en-US" w:eastAsia="zh-CN"/>
        </w:rPr>
        <w:t xml:space="preserve">: </w:t>
      </w:r>
      <w:r w:rsidR="00093FC0" w:rsidRPr="00253342">
        <w:rPr>
          <w:i/>
          <w:lang w:val="en-US" w:eastAsia="zh-CN"/>
        </w:rPr>
        <w:t xml:space="preserve">the number of </w:t>
      </w:r>
      <w:r w:rsidR="00253342" w:rsidRPr="00253342">
        <w:rPr>
          <w:i/>
          <w:lang w:val="en-US" w:eastAsia="zh-CN"/>
        </w:rPr>
        <w:t>DL DCI to process per N consecutive slots of scheduling cell for a set of cells configured for multi-cell PDSCH scheduling by DCI format 1_3</w:t>
      </w:r>
    </w:p>
    <w:p w14:paraId="36CBD666" w14:textId="02366BB9" w:rsidR="00253342" w:rsidRPr="00253342" w:rsidRDefault="00253342" w:rsidP="00620BBF">
      <w:pPr>
        <w:pStyle w:val="aff5"/>
        <w:numPr>
          <w:ilvl w:val="2"/>
          <w:numId w:val="22"/>
        </w:numPr>
        <w:rPr>
          <w:i/>
          <w:lang w:val="en-US" w:eastAsia="zh-CN"/>
        </w:rPr>
      </w:pPr>
      <w:r w:rsidRPr="00253342">
        <w:rPr>
          <w:i/>
          <w:lang w:val="en-US" w:eastAsia="zh-CN"/>
        </w:rPr>
        <w:t>One DCI format 1_3 for the set of cells</w:t>
      </w:r>
    </w:p>
    <w:p w14:paraId="6EDBD944" w14:textId="77777777" w:rsidR="00253342" w:rsidRPr="00253342" w:rsidRDefault="00253342" w:rsidP="00620BBF">
      <w:pPr>
        <w:pStyle w:val="aff5"/>
        <w:numPr>
          <w:ilvl w:val="2"/>
          <w:numId w:val="22"/>
        </w:numPr>
        <w:rPr>
          <w:i/>
          <w:lang w:val="en-US" w:eastAsia="zh-CN"/>
        </w:rPr>
      </w:pPr>
      <w:r w:rsidRPr="00253342">
        <w:rPr>
          <w:i/>
          <w:lang w:val="en-US" w:eastAsia="zh-CN"/>
        </w:rPr>
        <w:t>For low-to-high SCS, N = 1.</w:t>
      </w:r>
    </w:p>
    <w:p w14:paraId="032B0250" w14:textId="77777777" w:rsidR="00253342" w:rsidRPr="00253342" w:rsidRDefault="00253342" w:rsidP="00620BBF">
      <w:pPr>
        <w:pStyle w:val="aff5"/>
        <w:numPr>
          <w:ilvl w:val="2"/>
          <w:numId w:val="22"/>
        </w:numPr>
        <w:rPr>
          <w:i/>
          <w:lang w:val="en-US" w:eastAsia="zh-CN"/>
        </w:rPr>
      </w:pPr>
      <w:r w:rsidRPr="00253342">
        <w:rPr>
          <w:i/>
          <w:lang w:val="en-US" w:eastAsia="zh-CN"/>
        </w:rPr>
        <w:t>For high-to-low SCS, N is based on pair of (scheduling CC SCS, scheduled CC SCS): N=2 for (30,15), (60,30), (120,60) and N=4 for (60,15), (120,30), N = 8 for (120,15)</w:t>
      </w:r>
    </w:p>
    <w:p w14:paraId="0CCA4830" w14:textId="1C4F1C78" w:rsidR="00253342" w:rsidRPr="00253342" w:rsidRDefault="00253342" w:rsidP="00620BBF">
      <w:pPr>
        <w:pStyle w:val="aff5"/>
        <w:numPr>
          <w:ilvl w:val="1"/>
          <w:numId w:val="20"/>
        </w:numPr>
        <w:rPr>
          <w:i/>
          <w:lang w:val="en-US" w:eastAsia="zh-CN"/>
        </w:rPr>
      </w:pPr>
      <w:r w:rsidRPr="00253342">
        <w:rPr>
          <w:i/>
          <w:lang w:val="en-US" w:eastAsia="zh-CN"/>
        </w:rPr>
        <w:t>FG 49-3y: the number of UL DCI to process per N consecutive slots of scheduling cell for a set of cells configured for multi-cell PUSCH scheduling by DCI format 0_3</w:t>
      </w:r>
    </w:p>
    <w:p w14:paraId="380867FE" w14:textId="4A168E08" w:rsidR="00253342" w:rsidRPr="00253342" w:rsidRDefault="00253342" w:rsidP="00620BBF">
      <w:pPr>
        <w:pStyle w:val="aff5"/>
        <w:numPr>
          <w:ilvl w:val="2"/>
          <w:numId w:val="22"/>
        </w:numPr>
        <w:rPr>
          <w:i/>
          <w:lang w:val="en-US" w:eastAsia="zh-CN"/>
        </w:rPr>
      </w:pPr>
      <w:r w:rsidRPr="00253342">
        <w:rPr>
          <w:i/>
          <w:lang w:val="en-US" w:eastAsia="zh-CN"/>
        </w:rPr>
        <w:t>For FDD scheduling cell, one DCI format 0_3 for the set of cells</w:t>
      </w:r>
    </w:p>
    <w:p w14:paraId="5E539E79" w14:textId="77C9B658" w:rsidR="00253342" w:rsidRPr="00253342" w:rsidRDefault="00253342" w:rsidP="00620BBF">
      <w:pPr>
        <w:pStyle w:val="aff5"/>
        <w:numPr>
          <w:ilvl w:val="2"/>
          <w:numId w:val="22"/>
        </w:numPr>
        <w:rPr>
          <w:i/>
          <w:lang w:val="en-US" w:eastAsia="zh-CN"/>
        </w:rPr>
      </w:pPr>
      <w:r w:rsidRPr="00253342">
        <w:rPr>
          <w:i/>
          <w:lang w:val="en-US" w:eastAsia="zh-CN"/>
        </w:rPr>
        <w:t>For TDD scheduling cell, two DCI format 0_3 for the set of cells</w:t>
      </w:r>
    </w:p>
    <w:p w14:paraId="010E9647" w14:textId="77777777" w:rsidR="00253342" w:rsidRPr="00253342" w:rsidRDefault="00253342" w:rsidP="00620BBF">
      <w:pPr>
        <w:pStyle w:val="aff5"/>
        <w:numPr>
          <w:ilvl w:val="2"/>
          <w:numId w:val="22"/>
        </w:numPr>
        <w:rPr>
          <w:i/>
          <w:lang w:val="en-US" w:eastAsia="zh-CN"/>
        </w:rPr>
      </w:pPr>
      <w:r w:rsidRPr="00253342">
        <w:rPr>
          <w:i/>
          <w:lang w:val="en-US" w:eastAsia="zh-CN"/>
        </w:rPr>
        <w:t>For low-to-high SCS, N = 1.</w:t>
      </w:r>
    </w:p>
    <w:p w14:paraId="27A7E455" w14:textId="77777777" w:rsidR="00253342" w:rsidRPr="00253342" w:rsidRDefault="00253342" w:rsidP="00620BBF">
      <w:pPr>
        <w:pStyle w:val="aff5"/>
        <w:numPr>
          <w:ilvl w:val="2"/>
          <w:numId w:val="22"/>
        </w:numPr>
        <w:rPr>
          <w:i/>
          <w:lang w:val="en-US" w:eastAsia="zh-CN"/>
        </w:rPr>
      </w:pPr>
      <w:r w:rsidRPr="00253342">
        <w:rPr>
          <w:i/>
          <w:lang w:val="en-US" w:eastAsia="zh-CN"/>
        </w:rPr>
        <w:t>For high-to-low SCS, N is based on pair of (scheduling CC SCS, scheduled CC SCS): N=2 for (30,15), (60,30), (120,60) and N=4 for (60,15), (120,30), N = 8 for (120,15)</w:t>
      </w:r>
    </w:p>
    <w:p w14:paraId="2203EFD4" w14:textId="370F7AFA" w:rsidR="00253342" w:rsidRDefault="00253342" w:rsidP="00620BBF">
      <w:pPr>
        <w:pStyle w:val="aff5"/>
        <w:numPr>
          <w:ilvl w:val="1"/>
          <w:numId w:val="20"/>
        </w:numPr>
        <w:rPr>
          <w:i/>
          <w:lang w:val="en-US" w:eastAsia="zh-CN"/>
        </w:rPr>
      </w:pPr>
      <w:r w:rsidRPr="00253342">
        <w:rPr>
          <w:i/>
          <w:lang w:val="en-US" w:eastAsia="zh-CN"/>
        </w:rPr>
        <w:t xml:space="preserve">Note: </w:t>
      </w:r>
      <w:r w:rsidR="00B17942">
        <w:rPr>
          <w:i/>
          <w:lang w:val="en-US" w:eastAsia="zh-CN"/>
        </w:rPr>
        <w:t>T</w:t>
      </w:r>
      <w:r w:rsidRPr="00253342">
        <w:rPr>
          <w:i/>
          <w:lang w:val="en-US" w:eastAsia="zh-CN"/>
        </w:rPr>
        <w:t>he capability of single cell scheduling is not affected.</w:t>
      </w:r>
    </w:p>
    <w:p w14:paraId="67ED8CDA" w14:textId="24972145" w:rsidR="001A0C91" w:rsidRPr="00253342" w:rsidRDefault="001A0C91" w:rsidP="00620BBF">
      <w:pPr>
        <w:pStyle w:val="aff5"/>
        <w:numPr>
          <w:ilvl w:val="1"/>
          <w:numId w:val="20"/>
        </w:numPr>
        <w:rPr>
          <w:i/>
          <w:lang w:val="en-US" w:eastAsia="zh-CN"/>
        </w:rPr>
      </w:pPr>
      <w:r>
        <w:rPr>
          <w:rFonts w:hint="eastAsia"/>
          <w:i/>
          <w:lang w:val="en-US" w:eastAsia="zh-CN"/>
        </w:rPr>
        <w:t>N</w:t>
      </w:r>
      <w:r>
        <w:rPr>
          <w:i/>
          <w:lang w:val="en-US" w:eastAsia="zh-CN"/>
        </w:rPr>
        <w:t xml:space="preserve">ote: The network may ignore the corresponding capability in FG 49-1/1B or FG 49-2/2b if </w:t>
      </w:r>
      <w:r w:rsidRPr="001A0C91">
        <w:rPr>
          <w:i/>
          <w:lang w:val="en-US" w:eastAsia="zh-CN"/>
        </w:rPr>
        <w:t>FG 49-3x or FG 49-3y</w:t>
      </w:r>
      <w:r>
        <w:rPr>
          <w:i/>
          <w:lang w:val="en-US" w:eastAsia="zh-CN"/>
        </w:rPr>
        <w:t xml:space="preserve"> is reported.</w:t>
      </w:r>
    </w:p>
    <w:p w14:paraId="2D206342" w14:textId="77777777" w:rsidR="0088525D" w:rsidRDefault="00B81CA5">
      <w:pPr>
        <w:pStyle w:val="aff5"/>
        <w:numPr>
          <w:ilvl w:val="0"/>
          <w:numId w:val="16"/>
        </w:numPr>
        <w:rPr>
          <w:b/>
          <w:lang w:eastAsia="zh-CN"/>
        </w:rPr>
      </w:pPr>
      <w:r>
        <w:rPr>
          <w:rFonts w:hint="eastAsia"/>
          <w:b/>
          <w:lang w:eastAsia="zh-CN"/>
        </w:rPr>
        <w:t>F</w:t>
      </w:r>
      <w:r>
        <w:rPr>
          <w:b/>
          <w:lang w:eastAsia="zh-CN"/>
        </w:rPr>
        <w:t>G 49-5a/FG49-5b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44"/>
        <w:gridCol w:w="1278"/>
        <w:gridCol w:w="558"/>
        <w:gridCol w:w="473"/>
        <w:gridCol w:w="520"/>
        <w:gridCol w:w="744"/>
        <w:gridCol w:w="632"/>
        <w:gridCol w:w="586"/>
        <w:gridCol w:w="584"/>
        <w:gridCol w:w="605"/>
        <w:gridCol w:w="830"/>
        <w:gridCol w:w="775"/>
      </w:tblGrid>
      <w:tr w:rsidR="00E746A1" w14:paraId="4C87DB3A" w14:textId="77777777" w:rsidTr="00922CCF">
        <w:trPr>
          <w:cantSplit/>
          <w:trHeight w:val="20"/>
        </w:trPr>
        <w:tc>
          <w:tcPr>
            <w:tcW w:w="283" w:type="pct"/>
            <w:tcBorders>
              <w:top w:val="single" w:sz="4" w:space="0" w:color="auto"/>
              <w:left w:val="single" w:sz="4" w:space="0" w:color="auto"/>
              <w:bottom w:val="single" w:sz="4" w:space="0" w:color="auto"/>
              <w:right w:val="single" w:sz="4" w:space="0" w:color="auto"/>
            </w:tcBorders>
            <w:hideMark/>
          </w:tcPr>
          <w:p w14:paraId="309DC836" w14:textId="77777777" w:rsidR="00E746A1" w:rsidRDefault="00E746A1">
            <w:pPr>
              <w:keepNext/>
              <w:keepLines/>
              <w:widowControl w:val="0"/>
              <w:spacing w:line="256" w:lineRule="auto"/>
              <w:rPr>
                <w:rFonts w:ascii="Arial" w:eastAsia="MS Mincho" w:hAnsi="Arial" w:cs="Arial"/>
                <w:color w:val="000000"/>
                <w:sz w:val="12"/>
                <w:szCs w:val="12"/>
                <w:lang w:val="en-US" w:eastAsia="zh-CN"/>
              </w:rPr>
            </w:pPr>
            <w:r>
              <w:rPr>
                <w:rFonts w:ascii="Arial" w:eastAsia="MS Mincho" w:hAnsi="Arial" w:cs="Arial"/>
                <w:color w:val="000000"/>
                <w:sz w:val="12"/>
                <w:szCs w:val="12"/>
              </w:rPr>
              <w:lastRenderedPageBreak/>
              <w:t xml:space="preserve">49. </w:t>
            </w:r>
            <w:proofErr w:type="spellStart"/>
            <w:r>
              <w:rPr>
                <w:rFonts w:ascii="Arial" w:eastAsia="MS Mincho"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hideMark/>
          </w:tcPr>
          <w:p w14:paraId="30168D78"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49-5a</w:t>
            </w:r>
          </w:p>
        </w:tc>
        <w:tc>
          <w:tcPr>
            <w:tcW w:w="373" w:type="pct"/>
            <w:tcBorders>
              <w:top w:val="single" w:sz="4" w:space="0" w:color="auto"/>
              <w:left w:val="nil"/>
              <w:bottom w:val="single" w:sz="4" w:space="0" w:color="auto"/>
              <w:right w:val="single" w:sz="4" w:space="0" w:color="auto"/>
            </w:tcBorders>
            <w:hideMark/>
          </w:tcPr>
          <w:p w14:paraId="6C3E03DE"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 xml:space="preserve">Trigger </w:t>
            </w:r>
            <w:r>
              <w:rPr>
                <w:rFonts w:ascii="Arial" w:eastAsia="MS Mincho" w:hAnsi="Arial" w:cs="Arial" w:hint="eastAsia"/>
                <w:color w:val="000000"/>
                <w:sz w:val="12"/>
                <w:szCs w:val="12"/>
              </w:rPr>
              <w:t>T</w:t>
            </w:r>
            <w:r>
              <w:rPr>
                <w:rFonts w:ascii="Arial" w:eastAsia="MS Mincho" w:hAnsi="Arial" w:cs="Arial"/>
                <w:color w:val="000000"/>
                <w:sz w:val="12"/>
                <w:szCs w:val="12"/>
              </w:rPr>
              <w:t xml:space="preserve">ype </w:t>
            </w:r>
            <w:r>
              <w:rPr>
                <w:rFonts w:ascii="Arial" w:eastAsia="MS Mincho" w:hAnsi="Arial" w:cs="Arial" w:hint="eastAsia"/>
                <w:color w:val="000000"/>
                <w:sz w:val="12"/>
                <w:szCs w:val="12"/>
              </w:rPr>
              <w:t>3</w:t>
            </w:r>
            <w:r>
              <w:rPr>
                <w:rFonts w:ascii="Arial" w:eastAsia="MS Mincho" w:hAnsi="Arial" w:cs="Arial"/>
                <w:color w:val="000000"/>
                <w:sz w:val="12"/>
                <w:szCs w:val="12"/>
              </w:rPr>
              <w:t xml:space="preserve">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hideMark/>
          </w:tcPr>
          <w:p w14:paraId="22273C3C" w14:textId="77777777" w:rsidR="00E746A1" w:rsidRDefault="00E746A1">
            <w:pPr>
              <w:spacing w:line="256" w:lineRule="auto"/>
              <w:rPr>
                <w:rFonts w:ascii="Arial" w:eastAsia="MS Gothic" w:hAnsi="Arial" w:cs="Arial"/>
                <w:strike/>
                <w:color w:val="FF0000"/>
                <w:sz w:val="12"/>
                <w:szCs w:val="12"/>
              </w:rPr>
            </w:pPr>
            <w:r>
              <w:rPr>
                <w:rFonts w:ascii="Arial" w:eastAsia="MS Gothic" w:hAnsi="Arial" w:cs="Arial"/>
                <w:strike/>
                <w:color w:val="FF0000"/>
                <w:sz w:val="12"/>
                <w:szCs w:val="12"/>
              </w:rPr>
              <w:t>Trigger Type 3 HARQ CB based feedback using DCI format 1_3</w:t>
            </w:r>
          </w:p>
          <w:p w14:paraId="563E8284" w14:textId="77777777" w:rsidR="00E746A1" w:rsidRDefault="00E746A1">
            <w:pPr>
              <w:spacing w:line="256" w:lineRule="auto"/>
              <w:rPr>
                <w:rFonts w:ascii="Arial" w:eastAsia="MS Gothic" w:hAnsi="Arial" w:cs="Arial"/>
                <w:color w:val="FF0000"/>
                <w:sz w:val="12"/>
                <w:szCs w:val="12"/>
              </w:rPr>
            </w:pPr>
            <w:r>
              <w:rPr>
                <w:rFonts w:ascii="Arial" w:eastAsia="MS Gothic" w:hAnsi="Arial" w:cs="Arial"/>
                <w:color w:val="FF0000"/>
                <w:sz w:val="12"/>
                <w:szCs w:val="12"/>
              </w:rPr>
              <w:t>1. Support feedback of type 3 HARQ-ACK codebook, triggered by a DCI 1_3 scheduling a PDSCH</w:t>
            </w:r>
          </w:p>
          <w:p w14:paraId="3721EF0D" w14:textId="77777777" w:rsidR="00E746A1" w:rsidRDefault="00E746A1">
            <w:pPr>
              <w:spacing w:line="256" w:lineRule="auto"/>
              <w:rPr>
                <w:rFonts w:ascii="Arial" w:eastAsia="MS Gothic" w:hAnsi="Arial" w:cs="Arial"/>
                <w:color w:val="000000"/>
                <w:sz w:val="12"/>
                <w:szCs w:val="12"/>
              </w:rPr>
            </w:pPr>
            <w:r>
              <w:rPr>
                <w:rFonts w:ascii="Arial" w:eastAsia="MS Gothic" w:hAnsi="Arial" w:cs="Arial"/>
                <w:color w:val="FF0000"/>
                <w:sz w:val="12"/>
                <w:szCs w:val="12"/>
                <w:highlight w:val="yellow"/>
              </w:rPr>
              <w:t>2. Support feedback of type 3 HARQ-ACK codebook, triggered by a DCI 1_3 without scheduling a PDSCH using a reserved FDRA value</w:t>
            </w:r>
          </w:p>
        </w:tc>
        <w:tc>
          <w:tcPr>
            <w:tcW w:w="313" w:type="pct"/>
            <w:tcBorders>
              <w:top w:val="single" w:sz="4" w:space="0" w:color="auto"/>
              <w:left w:val="nil"/>
              <w:bottom w:val="single" w:sz="4" w:space="0" w:color="auto"/>
              <w:right w:val="single" w:sz="4" w:space="0" w:color="auto"/>
            </w:tcBorders>
            <w:hideMark/>
          </w:tcPr>
          <w:p w14:paraId="2BDC8B2F"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strike/>
                <w:color w:val="FF0000"/>
                <w:sz w:val="12"/>
                <w:szCs w:val="12"/>
              </w:rPr>
              <w:t xml:space="preserve">[10-16], </w:t>
            </w:r>
            <w:r>
              <w:rPr>
                <w:rFonts w:ascii="Arial" w:eastAsia="MS Mincho"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hideMark/>
          </w:tcPr>
          <w:p w14:paraId="46D44C29"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hint="eastAsia"/>
                <w:color w:val="000000"/>
                <w:sz w:val="12"/>
                <w:szCs w:val="12"/>
              </w:rPr>
              <w:t>Y</w:t>
            </w:r>
            <w:r>
              <w:rPr>
                <w:rFonts w:ascii="Arial" w:eastAsia="MS Mincho" w:hAnsi="Arial" w:cs="Arial"/>
                <w:color w:val="000000"/>
                <w:sz w:val="12"/>
                <w:szCs w:val="12"/>
              </w:rPr>
              <w:t>es</w:t>
            </w:r>
          </w:p>
        </w:tc>
        <w:tc>
          <w:tcPr>
            <w:tcW w:w="293" w:type="pct"/>
            <w:tcBorders>
              <w:top w:val="single" w:sz="4" w:space="0" w:color="auto"/>
              <w:left w:val="nil"/>
              <w:bottom w:val="single" w:sz="4" w:space="0" w:color="auto"/>
              <w:right w:val="single" w:sz="4" w:space="0" w:color="auto"/>
            </w:tcBorders>
          </w:tcPr>
          <w:p w14:paraId="597AA2AD" w14:textId="77777777" w:rsidR="00E746A1" w:rsidRDefault="00E746A1">
            <w:pPr>
              <w:keepNext/>
              <w:keepLines/>
              <w:widowControl w:val="0"/>
              <w:spacing w:line="256" w:lineRule="auto"/>
              <w:rPr>
                <w:rFonts w:ascii="Arial" w:eastAsia="MS Mincho" w:hAnsi="Arial" w:cs="Arial"/>
                <w:color w:val="000000"/>
                <w:sz w:val="12"/>
                <w:szCs w:val="12"/>
              </w:rPr>
            </w:pPr>
          </w:p>
        </w:tc>
        <w:tc>
          <w:tcPr>
            <w:tcW w:w="408" w:type="pct"/>
            <w:tcBorders>
              <w:top w:val="single" w:sz="4" w:space="0" w:color="auto"/>
              <w:left w:val="nil"/>
              <w:bottom w:val="single" w:sz="4" w:space="0" w:color="auto"/>
              <w:right w:val="single" w:sz="4" w:space="0" w:color="auto"/>
            </w:tcBorders>
            <w:hideMark/>
          </w:tcPr>
          <w:p w14:paraId="50BFA242"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U</w:t>
            </w:r>
            <w:r>
              <w:rPr>
                <w:rFonts w:ascii="Arial" w:eastAsia="MS Mincho" w:hAnsi="Arial" w:cs="Arial"/>
                <w:sz w:val="12"/>
                <w:szCs w:val="12"/>
              </w:rPr>
              <w:t>E does not support HARQ feedback based on Type 3 HARQ codebook triggered by DCI format 1_3</w:t>
            </w:r>
          </w:p>
        </w:tc>
        <w:tc>
          <w:tcPr>
            <w:tcW w:w="352" w:type="pct"/>
            <w:tcBorders>
              <w:top w:val="single" w:sz="4" w:space="0" w:color="auto"/>
              <w:left w:val="nil"/>
              <w:bottom w:val="single" w:sz="4" w:space="0" w:color="auto"/>
              <w:right w:val="single" w:sz="4" w:space="0" w:color="auto"/>
            </w:tcBorders>
            <w:hideMark/>
          </w:tcPr>
          <w:p w14:paraId="62C0AEE4"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P</w:t>
            </w:r>
            <w:r>
              <w:rPr>
                <w:rFonts w:ascii="Arial" w:eastAsia="MS Mincho" w:hAnsi="Arial" w:cs="Arial"/>
                <w:sz w:val="12"/>
                <w:szCs w:val="12"/>
              </w:rPr>
              <w:t>er BC</w:t>
            </w:r>
          </w:p>
        </w:tc>
        <w:tc>
          <w:tcPr>
            <w:tcW w:w="327" w:type="pct"/>
            <w:tcBorders>
              <w:top w:val="single" w:sz="4" w:space="0" w:color="auto"/>
              <w:left w:val="nil"/>
              <w:bottom w:val="single" w:sz="4" w:space="0" w:color="auto"/>
              <w:right w:val="single" w:sz="4" w:space="0" w:color="auto"/>
            </w:tcBorders>
            <w:hideMark/>
          </w:tcPr>
          <w:p w14:paraId="150256C5"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N</w:t>
            </w:r>
            <w:r>
              <w:rPr>
                <w:rFonts w:ascii="Arial" w:eastAsia="MS Mincho" w:hAnsi="Arial" w:cs="Arial"/>
                <w:sz w:val="12"/>
                <w:szCs w:val="12"/>
              </w:rPr>
              <w:t>/A</w:t>
            </w:r>
          </w:p>
        </w:tc>
        <w:tc>
          <w:tcPr>
            <w:tcW w:w="326" w:type="pct"/>
            <w:tcBorders>
              <w:top w:val="single" w:sz="4" w:space="0" w:color="auto"/>
              <w:left w:val="nil"/>
              <w:bottom w:val="single" w:sz="4" w:space="0" w:color="auto"/>
              <w:right w:val="single" w:sz="4" w:space="0" w:color="auto"/>
            </w:tcBorders>
            <w:hideMark/>
          </w:tcPr>
          <w:p w14:paraId="15C7734C"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N</w:t>
            </w:r>
            <w:r>
              <w:rPr>
                <w:rFonts w:ascii="Arial" w:eastAsia="MS Mincho" w:hAnsi="Arial" w:cs="Arial"/>
                <w:sz w:val="12"/>
                <w:szCs w:val="12"/>
              </w:rPr>
              <w:t>/A</w:t>
            </w:r>
          </w:p>
        </w:tc>
        <w:tc>
          <w:tcPr>
            <w:tcW w:w="337" w:type="pct"/>
            <w:tcBorders>
              <w:top w:val="single" w:sz="4" w:space="0" w:color="auto"/>
              <w:left w:val="nil"/>
              <w:bottom w:val="single" w:sz="4" w:space="0" w:color="auto"/>
              <w:right w:val="single" w:sz="4" w:space="0" w:color="auto"/>
            </w:tcBorders>
            <w:hideMark/>
          </w:tcPr>
          <w:p w14:paraId="1F9EF923"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hint="eastAsia"/>
                <w:color w:val="000000"/>
                <w:sz w:val="12"/>
                <w:szCs w:val="12"/>
              </w:rPr>
              <w:t>N</w:t>
            </w:r>
            <w:r>
              <w:rPr>
                <w:rFonts w:ascii="Arial" w:eastAsia="MS Mincho" w:hAnsi="Arial" w:cs="Arial"/>
                <w:color w:val="000000"/>
                <w:sz w:val="12"/>
                <w:szCs w:val="12"/>
              </w:rPr>
              <w:t>/A</w:t>
            </w:r>
          </w:p>
        </w:tc>
        <w:tc>
          <w:tcPr>
            <w:tcW w:w="447" w:type="pct"/>
            <w:tcBorders>
              <w:top w:val="single" w:sz="4" w:space="0" w:color="auto"/>
              <w:left w:val="nil"/>
              <w:bottom w:val="single" w:sz="4" w:space="0" w:color="auto"/>
              <w:right w:val="single" w:sz="4" w:space="0" w:color="auto"/>
            </w:tcBorders>
            <w:shd w:val="clear" w:color="auto" w:fill="FFFF00"/>
            <w:hideMark/>
          </w:tcPr>
          <w:p w14:paraId="30C874FB"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FF0000"/>
                <w:sz w:val="12"/>
                <w:szCs w:val="12"/>
              </w:rPr>
              <w:t>Upon triggering, UE reports A/N for all HARQ processes and all CCs in a PUCCH group.</w:t>
            </w:r>
          </w:p>
        </w:tc>
        <w:tc>
          <w:tcPr>
            <w:tcW w:w="432" w:type="pct"/>
            <w:tcBorders>
              <w:top w:val="single" w:sz="4" w:space="0" w:color="auto"/>
              <w:left w:val="nil"/>
              <w:bottom w:val="single" w:sz="4" w:space="0" w:color="auto"/>
              <w:right w:val="single" w:sz="4" w:space="0" w:color="auto"/>
            </w:tcBorders>
            <w:hideMark/>
          </w:tcPr>
          <w:p w14:paraId="153C7CAE"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 xml:space="preserve">Optional with capability </w:t>
            </w:r>
            <w:proofErr w:type="spellStart"/>
            <w:r>
              <w:rPr>
                <w:rFonts w:ascii="Arial" w:eastAsia="MS Mincho" w:hAnsi="Arial" w:cs="Arial"/>
                <w:color w:val="000000"/>
                <w:sz w:val="12"/>
                <w:szCs w:val="12"/>
              </w:rPr>
              <w:t>signaling</w:t>
            </w:r>
            <w:proofErr w:type="spellEnd"/>
          </w:p>
        </w:tc>
      </w:tr>
      <w:tr w:rsidR="00E746A1" w14:paraId="103C1FC1" w14:textId="77777777" w:rsidTr="00922CCF">
        <w:trPr>
          <w:cantSplit/>
          <w:trHeight w:val="20"/>
        </w:trPr>
        <w:tc>
          <w:tcPr>
            <w:tcW w:w="283" w:type="pct"/>
            <w:tcBorders>
              <w:top w:val="single" w:sz="4" w:space="0" w:color="auto"/>
              <w:left w:val="single" w:sz="4" w:space="0" w:color="auto"/>
              <w:bottom w:val="single" w:sz="4" w:space="0" w:color="auto"/>
              <w:right w:val="single" w:sz="4" w:space="0" w:color="auto"/>
            </w:tcBorders>
            <w:hideMark/>
          </w:tcPr>
          <w:p w14:paraId="12F22CDF"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 xml:space="preserve">49. </w:t>
            </w:r>
            <w:proofErr w:type="spellStart"/>
            <w:r>
              <w:rPr>
                <w:rFonts w:ascii="Arial" w:eastAsia="MS Mincho"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hideMark/>
          </w:tcPr>
          <w:p w14:paraId="6FB01098"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49-5b</w:t>
            </w:r>
          </w:p>
        </w:tc>
        <w:tc>
          <w:tcPr>
            <w:tcW w:w="373" w:type="pct"/>
            <w:tcBorders>
              <w:top w:val="single" w:sz="4" w:space="0" w:color="auto"/>
              <w:left w:val="nil"/>
              <w:bottom w:val="single" w:sz="4" w:space="0" w:color="auto"/>
              <w:right w:val="single" w:sz="4" w:space="0" w:color="auto"/>
            </w:tcBorders>
            <w:hideMark/>
          </w:tcPr>
          <w:p w14:paraId="50799027"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 xml:space="preserve">Trigger enhanced </w:t>
            </w:r>
            <w:r>
              <w:rPr>
                <w:rFonts w:ascii="Arial" w:eastAsia="MS Mincho" w:hAnsi="Arial" w:cs="Arial" w:hint="eastAsia"/>
                <w:color w:val="000000"/>
                <w:sz w:val="12"/>
                <w:szCs w:val="12"/>
              </w:rPr>
              <w:t>T</w:t>
            </w:r>
            <w:r>
              <w:rPr>
                <w:rFonts w:ascii="Arial" w:eastAsia="MS Mincho" w:hAnsi="Arial" w:cs="Arial"/>
                <w:color w:val="000000"/>
                <w:sz w:val="12"/>
                <w:szCs w:val="12"/>
              </w:rPr>
              <w:t>ype 3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hideMark/>
          </w:tcPr>
          <w:p w14:paraId="629C0899" w14:textId="77777777" w:rsidR="00E746A1" w:rsidRDefault="00E746A1">
            <w:pPr>
              <w:spacing w:line="256" w:lineRule="auto"/>
              <w:rPr>
                <w:rFonts w:ascii="Arial" w:eastAsia="MS Gothic" w:hAnsi="Arial" w:cs="Arial"/>
                <w:strike/>
                <w:color w:val="FF0000"/>
                <w:sz w:val="12"/>
                <w:szCs w:val="12"/>
              </w:rPr>
            </w:pPr>
            <w:r>
              <w:rPr>
                <w:rFonts w:ascii="Arial" w:eastAsia="MS Gothic" w:hAnsi="Arial" w:cs="Arial"/>
                <w:strike/>
                <w:color w:val="FF0000"/>
                <w:sz w:val="12"/>
                <w:szCs w:val="12"/>
              </w:rPr>
              <w:t xml:space="preserve">Trigger enhanced </w:t>
            </w:r>
            <w:r>
              <w:rPr>
                <w:rFonts w:ascii="Arial" w:eastAsia="MS Gothic" w:hAnsi="Arial" w:cs="Arial" w:hint="eastAsia"/>
                <w:strike/>
                <w:color w:val="FF0000"/>
                <w:sz w:val="12"/>
                <w:szCs w:val="12"/>
              </w:rPr>
              <w:t>T</w:t>
            </w:r>
            <w:r>
              <w:rPr>
                <w:rFonts w:ascii="Arial" w:eastAsia="MS Gothic" w:hAnsi="Arial" w:cs="Arial"/>
                <w:strike/>
                <w:color w:val="FF0000"/>
                <w:sz w:val="12"/>
                <w:szCs w:val="12"/>
              </w:rPr>
              <w:t>ype 3 HARQ CB based feedback using DCI format 1_3</w:t>
            </w:r>
          </w:p>
          <w:p w14:paraId="1702CD05" w14:textId="77777777" w:rsidR="00E746A1" w:rsidRDefault="00E746A1">
            <w:pPr>
              <w:spacing w:line="256" w:lineRule="auto"/>
              <w:rPr>
                <w:rFonts w:ascii="Arial" w:eastAsia="MS Gothic" w:hAnsi="Arial" w:cs="Arial"/>
                <w:color w:val="FF0000"/>
                <w:sz w:val="12"/>
                <w:szCs w:val="12"/>
              </w:rPr>
            </w:pPr>
            <w:r>
              <w:rPr>
                <w:rFonts w:ascii="Arial" w:eastAsia="MS Gothic" w:hAnsi="Arial" w:cs="Arial"/>
                <w:color w:val="FF0000"/>
                <w:sz w:val="12"/>
                <w:szCs w:val="12"/>
              </w:rPr>
              <w:t>1. Support feedback of enhanced type 3 HARQ-ACK codebook, triggered by a DCI 1_3</w:t>
            </w:r>
          </w:p>
          <w:p w14:paraId="618000D2" w14:textId="77777777" w:rsidR="00E746A1" w:rsidRDefault="00E746A1">
            <w:pPr>
              <w:spacing w:line="256" w:lineRule="auto"/>
              <w:rPr>
                <w:rFonts w:ascii="Arial" w:eastAsia="MS Gothic" w:hAnsi="Arial" w:cs="Arial"/>
                <w:color w:val="FF0000"/>
                <w:sz w:val="12"/>
                <w:szCs w:val="12"/>
              </w:rPr>
            </w:pPr>
            <w:r>
              <w:rPr>
                <w:rFonts w:ascii="Arial" w:eastAsia="MS Gothic" w:hAnsi="Arial" w:cs="Arial"/>
                <w:color w:val="FF0000"/>
                <w:sz w:val="12"/>
                <w:szCs w:val="12"/>
              </w:rPr>
              <w:t>2. Support configuration of up to 8 enhanced type 3 HARQ-ACK codebooks.</w:t>
            </w:r>
          </w:p>
          <w:p w14:paraId="06AC677D" w14:textId="77777777" w:rsidR="00E746A1" w:rsidRDefault="00E746A1">
            <w:pPr>
              <w:spacing w:line="256" w:lineRule="auto"/>
              <w:rPr>
                <w:rFonts w:ascii="Arial" w:eastAsia="MS Gothic" w:hAnsi="Arial" w:cs="Arial"/>
                <w:color w:val="FF0000"/>
                <w:sz w:val="12"/>
                <w:szCs w:val="12"/>
              </w:rPr>
            </w:pPr>
            <w:r>
              <w:rPr>
                <w:rFonts w:ascii="Arial" w:eastAsia="MS Gothic" w:hAnsi="Arial" w:cs="Arial"/>
                <w:color w:val="FF0000"/>
                <w:sz w:val="12"/>
                <w:szCs w:val="12"/>
              </w:rPr>
              <w:t>3. Support feedback of a dynamically selected enhanced type 3 HARQ-ACK codebook based on triggering information in DCI 1_3</w:t>
            </w:r>
          </w:p>
          <w:p w14:paraId="1F0AC8CE" w14:textId="77777777" w:rsidR="00E746A1" w:rsidRDefault="00E746A1">
            <w:pPr>
              <w:spacing w:line="256" w:lineRule="auto"/>
              <w:rPr>
                <w:rFonts w:ascii="Arial" w:eastAsia="MS Gothic" w:hAnsi="Arial" w:cs="Arial"/>
                <w:color w:val="FF0000"/>
                <w:sz w:val="12"/>
                <w:szCs w:val="12"/>
              </w:rPr>
            </w:pPr>
            <w:r>
              <w:rPr>
                <w:rFonts w:ascii="Arial" w:eastAsia="MS Gothic" w:hAnsi="Arial" w:cs="Arial"/>
                <w:color w:val="FF0000"/>
                <w:sz w:val="12"/>
                <w:szCs w:val="12"/>
              </w:rPr>
              <w:t>4. Support transmission of enhanced type 3 HARQ-ACK codebook using the first or second PUCCH configuration based on PHY priority indication in the triggering DCI (for a UE supporting two HARQ-ACK codebooks / PUCCH config in 11-4)</w:t>
            </w:r>
          </w:p>
          <w:p w14:paraId="7BC6489F" w14:textId="77777777" w:rsidR="00E746A1" w:rsidRDefault="00E746A1">
            <w:pPr>
              <w:spacing w:line="256" w:lineRule="auto"/>
              <w:rPr>
                <w:rFonts w:ascii="Arial" w:eastAsia="MS Gothic" w:hAnsi="Arial" w:cs="Arial"/>
                <w:color w:val="000000"/>
                <w:sz w:val="12"/>
                <w:szCs w:val="12"/>
              </w:rPr>
            </w:pPr>
            <w:r>
              <w:rPr>
                <w:rFonts w:ascii="Arial" w:eastAsia="MS Gothic" w:hAnsi="Arial" w:cs="Arial"/>
                <w:color w:val="FF0000"/>
                <w:sz w:val="12"/>
                <w:szCs w:val="12"/>
              </w:rPr>
              <w:t>5. Supported maximum number of actual PUCCH transmissions for type 3 or enhanced type 3 HARQ-ACK codebook feedback within a slot</w:t>
            </w:r>
          </w:p>
        </w:tc>
        <w:tc>
          <w:tcPr>
            <w:tcW w:w="313" w:type="pct"/>
            <w:tcBorders>
              <w:top w:val="single" w:sz="4" w:space="0" w:color="auto"/>
              <w:left w:val="nil"/>
              <w:bottom w:val="single" w:sz="4" w:space="0" w:color="auto"/>
              <w:right w:val="single" w:sz="4" w:space="0" w:color="auto"/>
            </w:tcBorders>
            <w:hideMark/>
          </w:tcPr>
          <w:p w14:paraId="00DCE80A"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strike/>
                <w:color w:val="FF0000"/>
                <w:sz w:val="12"/>
                <w:szCs w:val="12"/>
              </w:rPr>
              <w:t xml:space="preserve">[25-6], </w:t>
            </w:r>
            <w:r>
              <w:rPr>
                <w:rFonts w:ascii="Arial" w:eastAsia="MS Mincho"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hideMark/>
          </w:tcPr>
          <w:p w14:paraId="35BE66E1"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hint="eastAsia"/>
                <w:color w:val="000000"/>
                <w:sz w:val="12"/>
                <w:szCs w:val="12"/>
              </w:rPr>
              <w:t>Y</w:t>
            </w:r>
            <w:r>
              <w:rPr>
                <w:rFonts w:ascii="Arial" w:eastAsia="MS Mincho" w:hAnsi="Arial" w:cs="Arial"/>
                <w:color w:val="000000"/>
                <w:sz w:val="12"/>
                <w:szCs w:val="12"/>
              </w:rPr>
              <w:t>es</w:t>
            </w:r>
          </w:p>
        </w:tc>
        <w:tc>
          <w:tcPr>
            <w:tcW w:w="293" w:type="pct"/>
            <w:tcBorders>
              <w:top w:val="single" w:sz="4" w:space="0" w:color="auto"/>
              <w:left w:val="nil"/>
              <w:bottom w:val="single" w:sz="4" w:space="0" w:color="auto"/>
              <w:right w:val="single" w:sz="4" w:space="0" w:color="auto"/>
            </w:tcBorders>
          </w:tcPr>
          <w:p w14:paraId="647D95C3" w14:textId="77777777" w:rsidR="00E746A1" w:rsidRDefault="00E746A1">
            <w:pPr>
              <w:keepNext/>
              <w:keepLines/>
              <w:widowControl w:val="0"/>
              <w:spacing w:line="256" w:lineRule="auto"/>
              <w:rPr>
                <w:rFonts w:ascii="Arial" w:eastAsia="MS Mincho" w:hAnsi="Arial" w:cs="Arial"/>
                <w:color w:val="000000"/>
                <w:sz w:val="12"/>
                <w:szCs w:val="12"/>
              </w:rPr>
            </w:pPr>
          </w:p>
        </w:tc>
        <w:tc>
          <w:tcPr>
            <w:tcW w:w="408" w:type="pct"/>
            <w:tcBorders>
              <w:top w:val="single" w:sz="4" w:space="0" w:color="auto"/>
              <w:left w:val="nil"/>
              <w:bottom w:val="single" w:sz="4" w:space="0" w:color="auto"/>
              <w:right w:val="single" w:sz="4" w:space="0" w:color="auto"/>
            </w:tcBorders>
            <w:hideMark/>
          </w:tcPr>
          <w:p w14:paraId="40E73ED8"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U</w:t>
            </w:r>
            <w:r>
              <w:rPr>
                <w:rFonts w:ascii="Arial" w:eastAsia="MS Mincho" w:hAnsi="Arial" w:cs="Arial"/>
                <w:sz w:val="12"/>
                <w:szCs w:val="12"/>
              </w:rPr>
              <w:t>E does not support HARQ feedback based on enhanced Type 3 HARQ codebook triggered by DCI format 1_3</w:t>
            </w:r>
          </w:p>
        </w:tc>
        <w:tc>
          <w:tcPr>
            <w:tcW w:w="352" w:type="pct"/>
            <w:tcBorders>
              <w:top w:val="single" w:sz="4" w:space="0" w:color="auto"/>
              <w:left w:val="nil"/>
              <w:bottom w:val="single" w:sz="4" w:space="0" w:color="auto"/>
              <w:right w:val="single" w:sz="4" w:space="0" w:color="auto"/>
            </w:tcBorders>
            <w:hideMark/>
          </w:tcPr>
          <w:p w14:paraId="0262B89E"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P</w:t>
            </w:r>
            <w:r>
              <w:rPr>
                <w:rFonts w:ascii="Arial" w:eastAsia="MS Mincho" w:hAnsi="Arial" w:cs="Arial"/>
                <w:sz w:val="12"/>
                <w:szCs w:val="12"/>
              </w:rPr>
              <w:t>er BC</w:t>
            </w:r>
          </w:p>
        </w:tc>
        <w:tc>
          <w:tcPr>
            <w:tcW w:w="327" w:type="pct"/>
            <w:tcBorders>
              <w:top w:val="single" w:sz="4" w:space="0" w:color="auto"/>
              <w:left w:val="nil"/>
              <w:bottom w:val="single" w:sz="4" w:space="0" w:color="auto"/>
              <w:right w:val="single" w:sz="4" w:space="0" w:color="auto"/>
            </w:tcBorders>
            <w:hideMark/>
          </w:tcPr>
          <w:p w14:paraId="20513834"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N</w:t>
            </w:r>
            <w:r>
              <w:rPr>
                <w:rFonts w:ascii="Arial" w:eastAsia="MS Mincho" w:hAnsi="Arial" w:cs="Arial"/>
                <w:sz w:val="12"/>
                <w:szCs w:val="12"/>
              </w:rPr>
              <w:t>/A</w:t>
            </w:r>
          </w:p>
        </w:tc>
        <w:tc>
          <w:tcPr>
            <w:tcW w:w="326" w:type="pct"/>
            <w:tcBorders>
              <w:top w:val="single" w:sz="4" w:space="0" w:color="auto"/>
              <w:left w:val="nil"/>
              <w:bottom w:val="single" w:sz="4" w:space="0" w:color="auto"/>
              <w:right w:val="single" w:sz="4" w:space="0" w:color="auto"/>
            </w:tcBorders>
            <w:hideMark/>
          </w:tcPr>
          <w:p w14:paraId="66E5DC36" w14:textId="77777777" w:rsidR="00E746A1" w:rsidRDefault="00E746A1">
            <w:pPr>
              <w:keepNext/>
              <w:keepLines/>
              <w:widowControl w:val="0"/>
              <w:spacing w:line="256" w:lineRule="auto"/>
              <w:rPr>
                <w:rFonts w:ascii="Arial" w:eastAsia="MS Mincho" w:hAnsi="Arial" w:cs="Arial"/>
                <w:sz w:val="12"/>
                <w:szCs w:val="12"/>
              </w:rPr>
            </w:pPr>
            <w:r>
              <w:rPr>
                <w:rFonts w:ascii="Arial" w:eastAsia="MS Mincho" w:hAnsi="Arial" w:cs="Arial" w:hint="eastAsia"/>
                <w:sz w:val="12"/>
                <w:szCs w:val="12"/>
              </w:rPr>
              <w:t>N</w:t>
            </w:r>
            <w:r>
              <w:rPr>
                <w:rFonts w:ascii="Arial" w:eastAsia="MS Mincho" w:hAnsi="Arial" w:cs="Arial"/>
                <w:sz w:val="12"/>
                <w:szCs w:val="12"/>
              </w:rPr>
              <w:t>/A</w:t>
            </w:r>
          </w:p>
        </w:tc>
        <w:tc>
          <w:tcPr>
            <w:tcW w:w="337" w:type="pct"/>
            <w:tcBorders>
              <w:top w:val="single" w:sz="4" w:space="0" w:color="auto"/>
              <w:left w:val="nil"/>
              <w:bottom w:val="single" w:sz="4" w:space="0" w:color="auto"/>
              <w:right w:val="single" w:sz="4" w:space="0" w:color="auto"/>
            </w:tcBorders>
            <w:hideMark/>
          </w:tcPr>
          <w:p w14:paraId="1B3DF2BD"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hint="eastAsia"/>
                <w:color w:val="000000"/>
                <w:sz w:val="12"/>
                <w:szCs w:val="12"/>
              </w:rPr>
              <w:t>N</w:t>
            </w:r>
            <w:r>
              <w:rPr>
                <w:rFonts w:ascii="Arial" w:eastAsia="MS Mincho" w:hAnsi="Arial" w:cs="Arial"/>
                <w:color w:val="000000"/>
                <w:sz w:val="12"/>
                <w:szCs w:val="12"/>
              </w:rPr>
              <w:t>/A</w:t>
            </w:r>
          </w:p>
        </w:tc>
        <w:tc>
          <w:tcPr>
            <w:tcW w:w="447" w:type="pct"/>
            <w:tcBorders>
              <w:top w:val="single" w:sz="4" w:space="0" w:color="auto"/>
              <w:left w:val="nil"/>
              <w:bottom w:val="single" w:sz="4" w:space="0" w:color="auto"/>
              <w:right w:val="single" w:sz="4" w:space="0" w:color="auto"/>
            </w:tcBorders>
            <w:shd w:val="clear" w:color="auto" w:fill="FFFF00"/>
            <w:hideMark/>
          </w:tcPr>
          <w:p w14:paraId="3295FE73" w14:textId="77777777" w:rsidR="00E746A1" w:rsidRDefault="00E746A1">
            <w:pPr>
              <w:keepNext/>
              <w:keepLines/>
              <w:widowControl w:val="0"/>
              <w:spacing w:line="256" w:lineRule="auto"/>
              <w:rPr>
                <w:rFonts w:ascii="Arial" w:eastAsia="MS Mincho" w:hAnsi="Arial" w:cs="Arial"/>
                <w:color w:val="FF0000"/>
                <w:sz w:val="12"/>
                <w:szCs w:val="12"/>
              </w:rPr>
            </w:pPr>
            <w:r>
              <w:rPr>
                <w:rFonts w:ascii="Arial" w:eastAsia="MS Mincho" w:hAnsi="Arial" w:cs="Arial"/>
                <w:color w:val="FF0000"/>
                <w:sz w:val="12"/>
                <w:szCs w:val="12"/>
              </w:rPr>
              <w:t xml:space="preserve">For component 2, the UE indicates its capability in the number of enhanced </w:t>
            </w:r>
            <w:proofErr w:type="gramStart"/>
            <w:r>
              <w:rPr>
                <w:rFonts w:ascii="Arial" w:eastAsia="MS Mincho" w:hAnsi="Arial" w:cs="Arial"/>
                <w:color w:val="FF0000"/>
                <w:sz w:val="12"/>
                <w:szCs w:val="12"/>
              </w:rPr>
              <w:t>type</w:t>
            </w:r>
            <w:proofErr w:type="gramEnd"/>
            <w:r>
              <w:rPr>
                <w:rFonts w:ascii="Arial" w:eastAsia="MS Mincho" w:hAnsi="Arial" w:cs="Arial"/>
                <w:color w:val="FF0000"/>
                <w:sz w:val="12"/>
                <w:szCs w:val="12"/>
              </w:rPr>
              <w:t xml:space="preserve"> 3 HARQ-ACK codebooks: {1, 2, 4, 8}</w:t>
            </w:r>
          </w:p>
          <w:p w14:paraId="3F4F47B0" w14:textId="77777777" w:rsidR="00E746A1" w:rsidRDefault="00E746A1">
            <w:pPr>
              <w:keepNext/>
              <w:keepLines/>
              <w:widowControl w:val="0"/>
              <w:spacing w:line="256" w:lineRule="auto"/>
              <w:rPr>
                <w:rFonts w:ascii="Arial" w:eastAsia="MS Mincho" w:hAnsi="Arial" w:cs="Arial"/>
                <w:color w:val="FF0000"/>
                <w:sz w:val="12"/>
                <w:szCs w:val="12"/>
              </w:rPr>
            </w:pPr>
            <w:r>
              <w:rPr>
                <w:rFonts w:ascii="Arial" w:eastAsia="MS Mincho" w:hAnsi="Arial" w:cs="Arial"/>
                <w:color w:val="FF0000"/>
                <w:sz w:val="12"/>
                <w:szCs w:val="12"/>
              </w:rPr>
              <w:t>For component 3, the dynamic indication is only supported if the UE for component 2 supports more than one enhanced type 3 HARQ-ACK codebook to be configured</w:t>
            </w:r>
          </w:p>
          <w:p w14:paraId="5F7DF078"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FF0000"/>
                <w:sz w:val="12"/>
                <w:szCs w:val="12"/>
              </w:rPr>
              <w:t>Candidate values for component 5 is: {1, 2, 3, 4, 5, 6, 7}.</w:t>
            </w:r>
          </w:p>
        </w:tc>
        <w:tc>
          <w:tcPr>
            <w:tcW w:w="432" w:type="pct"/>
            <w:tcBorders>
              <w:top w:val="single" w:sz="4" w:space="0" w:color="auto"/>
              <w:left w:val="nil"/>
              <w:bottom w:val="single" w:sz="4" w:space="0" w:color="auto"/>
              <w:right w:val="single" w:sz="4" w:space="0" w:color="auto"/>
            </w:tcBorders>
            <w:hideMark/>
          </w:tcPr>
          <w:p w14:paraId="7D7F1B02" w14:textId="77777777" w:rsidR="00E746A1" w:rsidRDefault="00E746A1">
            <w:pPr>
              <w:keepNext/>
              <w:keepLines/>
              <w:widowControl w:val="0"/>
              <w:spacing w:line="256" w:lineRule="auto"/>
              <w:rPr>
                <w:rFonts w:ascii="Arial" w:eastAsia="MS Mincho" w:hAnsi="Arial" w:cs="Arial"/>
                <w:color w:val="000000"/>
                <w:sz w:val="12"/>
                <w:szCs w:val="12"/>
              </w:rPr>
            </w:pPr>
            <w:r>
              <w:rPr>
                <w:rFonts w:ascii="Arial" w:eastAsia="MS Mincho" w:hAnsi="Arial" w:cs="Arial"/>
                <w:color w:val="000000"/>
                <w:sz w:val="12"/>
                <w:szCs w:val="12"/>
              </w:rPr>
              <w:t xml:space="preserve">Optional with capability </w:t>
            </w:r>
            <w:proofErr w:type="spellStart"/>
            <w:r>
              <w:rPr>
                <w:rFonts w:ascii="Arial" w:eastAsia="MS Mincho" w:hAnsi="Arial" w:cs="Arial"/>
                <w:color w:val="000000"/>
                <w:sz w:val="12"/>
                <w:szCs w:val="12"/>
              </w:rPr>
              <w:t>signaling</w:t>
            </w:r>
            <w:proofErr w:type="spellEnd"/>
          </w:p>
        </w:tc>
      </w:tr>
    </w:tbl>
    <w:p w14:paraId="40A66F8B" w14:textId="6C77EC84" w:rsidR="00B35130" w:rsidRDefault="00E746A1" w:rsidP="00B41A16">
      <w:pPr>
        <w:spacing w:beforeLines="50" w:before="120"/>
        <w:rPr>
          <w:lang w:eastAsia="zh-CN"/>
        </w:rPr>
      </w:pPr>
      <w:r>
        <w:rPr>
          <w:rFonts w:hint="eastAsia"/>
          <w:lang w:eastAsia="zh-CN"/>
        </w:rPr>
        <w:t>F</w:t>
      </w:r>
      <w:r>
        <w:rPr>
          <w:lang w:eastAsia="zh-CN"/>
        </w:rPr>
        <w:t xml:space="preserve">or </w:t>
      </w:r>
      <w:r w:rsidR="00B35130" w:rsidRPr="00B35130">
        <w:rPr>
          <w:lang w:eastAsia="zh-CN"/>
        </w:rPr>
        <w:t>49-5a/FG49-5b</w:t>
      </w:r>
      <w:r w:rsidR="00B35130">
        <w:rPr>
          <w:lang w:eastAsia="zh-CN"/>
        </w:rPr>
        <w:t xml:space="preserve">, the above was agreed in the last meeting. The main purpose of the two FGs is to indicate whether </w:t>
      </w:r>
      <w:r w:rsidR="00990C2B">
        <w:rPr>
          <w:lang w:eastAsia="zh-CN"/>
        </w:rPr>
        <w:t xml:space="preserve">the network can configure </w:t>
      </w:r>
      <w:r w:rsidR="00B35130">
        <w:rPr>
          <w:lang w:eastAsia="zh-CN"/>
        </w:rPr>
        <w:t xml:space="preserve">the corresponding field </w:t>
      </w:r>
      <w:r w:rsidR="00990C2B">
        <w:rPr>
          <w:lang w:eastAsia="zh-CN"/>
        </w:rPr>
        <w:t xml:space="preserve">to be </w:t>
      </w:r>
      <w:r w:rsidR="00B35130">
        <w:rPr>
          <w:lang w:eastAsia="zh-CN"/>
        </w:rPr>
        <w:t>in the DCI format 1_3</w:t>
      </w:r>
      <w:r w:rsidR="007D1CDA">
        <w:rPr>
          <w:lang w:eastAsia="zh-CN"/>
        </w:rPr>
        <w:t xml:space="preserve"> for the UE</w:t>
      </w:r>
      <w:r w:rsidR="00B35130">
        <w:rPr>
          <w:lang w:eastAsia="zh-CN"/>
        </w:rPr>
        <w:t xml:space="preserve">. For FG49-5a, since DCI format 1_3 can schedule more than one PDSCH, it should allow the DCI can trigger Type-3 codebook, and scheduling more than one PDSCH or does not schedule any PDSCH at the same time. Since the UE can report the number of enhanced Type-3 codebooks and the number of PUCCH transmission in FG </w:t>
      </w:r>
      <w:r w:rsidR="00B35130" w:rsidRPr="00B35130">
        <w:rPr>
          <w:lang w:eastAsia="zh-CN"/>
        </w:rPr>
        <w:t>25-6</w:t>
      </w:r>
      <w:r w:rsidR="00B35130">
        <w:rPr>
          <w:lang w:eastAsia="zh-CN"/>
        </w:rPr>
        <w:t>, there is no need to report this in FG 49-5b again.</w:t>
      </w:r>
    </w:p>
    <w:p w14:paraId="78769C81" w14:textId="1C5F8C79" w:rsidR="00990C2B" w:rsidRDefault="00B81CA5">
      <w:pPr>
        <w:rPr>
          <w:i/>
          <w:lang w:eastAsia="zh-CN"/>
        </w:rPr>
      </w:pPr>
      <w:r>
        <w:rPr>
          <w:b/>
          <w:i/>
          <w:lang w:eastAsia="zh-CN"/>
        </w:rPr>
        <w:t xml:space="preserve">Proposal </w:t>
      </w:r>
      <w:r w:rsidR="0075667B">
        <w:rPr>
          <w:b/>
          <w:i/>
          <w:lang w:eastAsia="zh-CN"/>
        </w:rPr>
        <w:t>4</w:t>
      </w:r>
      <w:r>
        <w:rPr>
          <w:b/>
          <w:i/>
          <w:lang w:eastAsia="zh-CN"/>
        </w:rPr>
        <w:t>:</w:t>
      </w:r>
      <w:r>
        <w:rPr>
          <w:i/>
          <w:lang w:eastAsia="zh-CN"/>
        </w:rPr>
        <w:t xml:space="preserve"> </w:t>
      </w:r>
      <w:r w:rsidR="00990C2B">
        <w:rPr>
          <w:i/>
          <w:lang w:eastAsia="zh-CN"/>
        </w:rPr>
        <w:t>For 49-5a/5b, the yellow part should be confirmed with the following modification.</w:t>
      </w:r>
    </w:p>
    <w:p w14:paraId="5C5876A1" w14:textId="77777777" w:rsidR="00990C2B" w:rsidRDefault="00990C2B" w:rsidP="00990C2B">
      <w:pPr>
        <w:pStyle w:val="aff5"/>
        <w:numPr>
          <w:ilvl w:val="1"/>
          <w:numId w:val="20"/>
        </w:numPr>
        <w:rPr>
          <w:i/>
          <w:lang w:val="en-US" w:eastAsia="zh-CN"/>
        </w:rPr>
      </w:pPr>
      <w:r w:rsidRPr="00253342">
        <w:rPr>
          <w:i/>
          <w:lang w:val="en-US" w:eastAsia="zh-CN"/>
        </w:rPr>
        <w:t>FG 49-</w:t>
      </w:r>
      <w:r>
        <w:rPr>
          <w:i/>
          <w:lang w:val="en-US" w:eastAsia="zh-CN"/>
        </w:rPr>
        <w:t>5a</w:t>
      </w:r>
      <w:r w:rsidRPr="00253342">
        <w:rPr>
          <w:i/>
          <w:lang w:val="en-US" w:eastAsia="zh-CN"/>
        </w:rPr>
        <w:t xml:space="preserve">: </w:t>
      </w:r>
    </w:p>
    <w:p w14:paraId="4288C834" w14:textId="48CBDEB2" w:rsidR="00990C2B" w:rsidRDefault="00990C2B" w:rsidP="00AA058A">
      <w:pPr>
        <w:pStyle w:val="aff5"/>
        <w:numPr>
          <w:ilvl w:val="2"/>
          <w:numId w:val="22"/>
        </w:numPr>
        <w:rPr>
          <w:i/>
          <w:lang w:val="en-US" w:eastAsia="zh-CN"/>
        </w:rPr>
      </w:pPr>
      <w:r w:rsidRPr="00990C2B">
        <w:rPr>
          <w:i/>
          <w:lang w:val="en-US" w:eastAsia="zh-CN"/>
        </w:rPr>
        <w:t xml:space="preserve">Support feedback of type 3 HARQ-ACK codebook, triggered by a DCI 1_3 scheduling </w:t>
      </w:r>
      <w:r w:rsidRPr="00AA058A">
        <w:rPr>
          <w:i/>
          <w:lang w:val="en-US" w:eastAsia="zh-CN"/>
        </w:rPr>
        <w:t xml:space="preserve">at least </w:t>
      </w:r>
      <w:r w:rsidRPr="00990C2B">
        <w:rPr>
          <w:i/>
          <w:lang w:val="en-US" w:eastAsia="zh-CN"/>
        </w:rPr>
        <w:t>a PDSCH</w:t>
      </w:r>
      <w:r>
        <w:rPr>
          <w:i/>
          <w:lang w:val="en-US" w:eastAsia="zh-CN"/>
        </w:rPr>
        <w:t>.</w:t>
      </w:r>
    </w:p>
    <w:p w14:paraId="502B3532" w14:textId="3D32A7CD" w:rsidR="00990C2B" w:rsidRDefault="00990C2B" w:rsidP="00AA058A">
      <w:pPr>
        <w:pStyle w:val="aff5"/>
        <w:numPr>
          <w:ilvl w:val="2"/>
          <w:numId w:val="22"/>
        </w:numPr>
        <w:rPr>
          <w:i/>
          <w:lang w:val="en-US" w:eastAsia="zh-CN"/>
        </w:rPr>
      </w:pPr>
      <w:r w:rsidRPr="00990C2B">
        <w:rPr>
          <w:i/>
          <w:lang w:val="en-US" w:eastAsia="zh-CN"/>
        </w:rPr>
        <w:t xml:space="preserve">Support feedback of type 3 HARQ-ACK codebook, triggered by a DCI 1_3 without scheduling </w:t>
      </w:r>
      <w:r w:rsidRPr="00AA058A">
        <w:rPr>
          <w:i/>
          <w:lang w:val="en-US" w:eastAsia="zh-CN"/>
        </w:rPr>
        <w:t xml:space="preserve">any </w:t>
      </w:r>
      <w:r w:rsidRPr="00990C2B">
        <w:rPr>
          <w:i/>
          <w:lang w:val="en-US" w:eastAsia="zh-CN"/>
        </w:rPr>
        <w:t>PDSCH using a reserved FDRA value</w:t>
      </w:r>
    </w:p>
    <w:p w14:paraId="36733322" w14:textId="425E2F3E" w:rsidR="00AA058A" w:rsidRDefault="00AA058A" w:rsidP="00AA058A">
      <w:pPr>
        <w:pStyle w:val="aff5"/>
        <w:numPr>
          <w:ilvl w:val="1"/>
          <w:numId w:val="20"/>
        </w:numPr>
        <w:rPr>
          <w:i/>
          <w:lang w:val="en-US" w:eastAsia="zh-CN"/>
        </w:rPr>
      </w:pPr>
      <w:r>
        <w:rPr>
          <w:rFonts w:hint="eastAsia"/>
          <w:i/>
          <w:lang w:val="en-US" w:eastAsia="zh-CN"/>
        </w:rPr>
        <w:t>F</w:t>
      </w:r>
      <w:r>
        <w:rPr>
          <w:i/>
          <w:lang w:val="en-US" w:eastAsia="zh-CN"/>
        </w:rPr>
        <w:t>G 49-5b:</w:t>
      </w:r>
    </w:p>
    <w:p w14:paraId="63571BE3" w14:textId="4A87C840" w:rsidR="00990C2B" w:rsidRPr="00AA058A" w:rsidRDefault="00AA058A" w:rsidP="00115BCF">
      <w:pPr>
        <w:pStyle w:val="aff5"/>
        <w:numPr>
          <w:ilvl w:val="2"/>
          <w:numId w:val="22"/>
        </w:numPr>
        <w:rPr>
          <w:iCs/>
          <w:lang w:eastAsia="zh-CN"/>
        </w:rPr>
      </w:pPr>
      <w:r w:rsidRPr="00AA058A">
        <w:rPr>
          <w:rFonts w:hint="eastAsia"/>
          <w:i/>
          <w:lang w:val="en-US" w:eastAsia="zh-CN"/>
        </w:rPr>
        <w:lastRenderedPageBreak/>
        <w:t>T</w:t>
      </w:r>
      <w:r w:rsidRPr="00AA058A">
        <w:rPr>
          <w:i/>
          <w:lang w:val="en-US" w:eastAsia="zh-CN"/>
        </w:rPr>
        <w:t>he UE should not report the number of enhanced Type-3 codebooks and the number of PUCCH transmission</w:t>
      </w:r>
    </w:p>
    <w:bookmarkEnd w:id="3"/>
    <w:p w14:paraId="6F04F745" w14:textId="77777777" w:rsidR="0088525D" w:rsidRDefault="00B81CA5">
      <w:pPr>
        <w:pStyle w:val="1"/>
        <w:pBdr>
          <w:top w:val="single" w:sz="12" w:space="0" w:color="auto"/>
        </w:pBdr>
      </w:pPr>
      <w:r>
        <w:rPr>
          <w:rFonts w:hint="eastAsia"/>
        </w:rPr>
        <w:t>C</w:t>
      </w:r>
      <w:r>
        <w:t>onclusion</w:t>
      </w:r>
    </w:p>
    <w:p w14:paraId="2C8F1558" w14:textId="77777777" w:rsidR="0088525D" w:rsidRDefault="00B81CA5">
      <w:pPr>
        <w:rPr>
          <w:lang w:eastAsia="zh-CN"/>
        </w:rPr>
      </w:pPr>
      <w:r>
        <w:rPr>
          <w:rFonts w:hint="eastAsia"/>
          <w:lang w:eastAsia="zh-CN"/>
        </w:rPr>
        <w:t>I</w:t>
      </w:r>
      <w:r>
        <w:rPr>
          <w:lang w:eastAsia="zh-CN"/>
        </w:rPr>
        <w:t>n this contribution, we provide our analysis for UE capabilities for Rel-18 MC WI and we have the following proposals.</w:t>
      </w:r>
    </w:p>
    <w:p w14:paraId="02A3FCB9" w14:textId="77777777" w:rsidR="0075667B" w:rsidRDefault="0075667B" w:rsidP="0075667B">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14:paraId="21F2D482" w14:textId="77777777" w:rsidR="0075667B" w:rsidRPr="008330CA" w:rsidRDefault="0075667B" w:rsidP="0075667B">
      <w:pPr>
        <w:spacing w:beforeLines="50" w:before="120"/>
        <w:rPr>
          <w:i/>
          <w:lang w:val="en-US" w:eastAsia="zh-CN"/>
        </w:rPr>
      </w:pPr>
      <w:r w:rsidRPr="008330CA">
        <w:rPr>
          <w:b/>
          <w:i/>
          <w:lang w:val="en-US" w:eastAsia="zh-CN"/>
        </w:rPr>
        <w:t>Proposal 2:</w:t>
      </w:r>
      <w:r w:rsidRPr="008330CA">
        <w:rPr>
          <w:i/>
          <w:lang w:val="en-US" w:eastAsia="zh-CN"/>
        </w:rPr>
        <w:t xml:space="preserve"> '[up to]' in the component 9 in FG 49-2 and FG 49-2b should be removed.</w:t>
      </w:r>
    </w:p>
    <w:p w14:paraId="269E93FA" w14:textId="77777777" w:rsidR="0075667B" w:rsidRPr="00253342" w:rsidRDefault="0075667B" w:rsidP="0075667B">
      <w:pPr>
        <w:rPr>
          <w:i/>
          <w:lang w:val="en-US" w:eastAsia="zh-CN"/>
        </w:rPr>
      </w:pPr>
      <w:r w:rsidRPr="00253342">
        <w:rPr>
          <w:rFonts w:hint="eastAsia"/>
          <w:b/>
          <w:i/>
          <w:lang w:val="en-US" w:eastAsia="zh-CN"/>
        </w:rPr>
        <w:t>P</w:t>
      </w:r>
      <w:r w:rsidRPr="00253342">
        <w:rPr>
          <w:b/>
          <w:i/>
          <w:lang w:val="en-US" w:eastAsia="zh-CN"/>
        </w:rPr>
        <w:t xml:space="preserve">roposal </w:t>
      </w:r>
      <w:r>
        <w:rPr>
          <w:b/>
          <w:i/>
          <w:lang w:val="en-US" w:eastAsia="zh-CN"/>
        </w:rPr>
        <w:t>3</w:t>
      </w:r>
      <w:r w:rsidRPr="00253342">
        <w:rPr>
          <w:b/>
          <w:i/>
          <w:lang w:val="en-US" w:eastAsia="zh-CN"/>
        </w:rPr>
        <w:t>:</w:t>
      </w:r>
      <w:r w:rsidRPr="00253342">
        <w:rPr>
          <w:i/>
          <w:lang w:val="en-US" w:eastAsia="zh-CN"/>
        </w:rPr>
        <w:t xml:space="preserve"> Introduce the following FG 49-3x and FG 49-3y</w:t>
      </w:r>
      <w:r>
        <w:rPr>
          <w:i/>
          <w:lang w:val="en-US" w:eastAsia="zh-CN"/>
        </w:rPr>
        <w:t xml:space="preserve"> and it should be reported per BC.</w:t>
      </w:r>
    </w:p>
    <w:p w14:paraId="2C9FA00F" w14:textId="77777777" w:rsidR="0075667B" w:rsidRPr="00253342" w:rsidRDefault="0075667B" w:rsidP="0075667B">
      <w:pPr>
        <w:pStyle w:val="aff5"/>
        <w:numPr>
          <w:ilvl w:val="1"/>
          <w:numId w:val="20"/>
        </w:numPr>
        <w:rPr>
          <w:i/>
          <w:lang w:val="en-US" w:eastAsia="zh-CN"/>
        </w:rPr>
      </w:pPr>
      <w:r w:rsidRPr="00253342">
        <w:rPr>
          <w:i/>
          <w:lang w:val="en-US" w:eastAsia="zh-CN"/>
        </w:rPr>
        <w:t>FG 49-3x: the number of DL DCI to process per N consecutive slots of scheduling cell for a set of cells configured for multi-cell PDSCH scheduling by DCI format 1_3</w:t>
      </w:r>
    </w:p>
    <w:p w14:paraId="02CC28CF" w14:textId="77777777" w:rsidR="0075667B" w:rsidRPr="00253342" w:rsidRDefault="0075667B" w:rsidP="0075667B">
      <w:pPr>
        <w:pStyle w:val="aff5"/>
        <w:numPr>
          <w:ilvl w:val="2"/>
          <w:numId w:val="22"/>
        </w:numPr>
        <w:rPr>
          <w:i/>
          <w:lang w:val="en-US" w:eastAsia="zh-CN"/>
        </w:rPr>
      </w:pPr>
      <w:r w:rsidRPr="00253342">
        <w:rPr>
          <w:i/>
          <w:lang w:val="en-US" w:eastAsia="zh-CN"/>
        </w:rPr>
        <w:t>One DCI format 1_3 for the set of cells</w:t>
      </w:r>
    </w:p>
    <w:p w14:paraId="6D463A01" w14:textId="77777777" w:rsidR="0075667B" w:rsidRPr="00253342" w:rsidRDefault="0075667B" w:rsidP="0075667B">
      <w:pPr>
        <w:pStyle w:val="aff5"/>
        <w:numPr>
          <w:ilvl w:val="2"/>
          <w:numId w:val="22"/>
        </w:numPr>
        <w:rPr>
          <w:i/>
          <w:lang w:val="en-US" w:eastAsia="zh-CN"/>
        </w:rPr>
      </w:pPr>
      <w:r w:rsidRPr="00253342">
        <w:rPr>
          <w:i/>
          <w:lang w:val="en-US" w:eastAsia="zh-CN"/>
        </w:rPr>
        <w:t>For low-to-high SCS, N = 1.</w:t>
      </w:r>
    </w:p>
    <w:p w14:paraId="3A2C2A08" w14:textId="77777777" w:rsidR="0075667B" w:rsidRPr="00253342" w:rsidRDefault="0075667B" w:rsidP="0075667B">
      <w:pPr>
        <w:pStyle w:val="aff5"/>
        <w:numPr>
          <w:ilvl w:val="2"/>
          <w:numId w:val="22"/>
        </w:numPr>
        <w:rPr>
          <w:i/>
          <w:lang w:val="en-US" w:eastAsia="zh-CN"/>
        </w:rPr>
      </w:pPr>
      <w:r w:rsidRPr="00253342">
        <w:rPr>
          <w:i/>
          <w:lang w:val="en-US" w:eastAsia="zh-CN"/>
        </w:rPr>
        <w:t>For high-to-low SCS, N is based on pair of (scheduling CC SCS, scheduled CC SCS): N=2 for (30,15), (60,30), (120,60) and N=4 for (60,15), (120,30), N = 8 for (120,15)</w:t>
      </w:r>
    </w:p>
    <w:p w14:paraId="4B555471" w14:textId="77777777" w:rsidR="0075667B" w:rsidRPr="00253342" w:rsidRDefault="0075667B" w:rsidP="0075667B">
      <w:pPr>
        <w:pStyle w:val="aff5"/>
        <w:numPr>
          <w:ilvl w:val="1"/>
          <w:numId w:val="20"/>
        </w:numPr>
        <w:rPr>
          <w:i/>
          <w:lang w:val="en-US" w:eastAsia="zh-CN"/>
        </w:rPr>
      </w:pPr>
      <w:r w:rsidRPr="00253342">
        <w:rPr>
          <w:i/>
          <w:lang w:val="en-US" w:eastAsia="zh-CN"/>
        </w:rPr>
        <w:t>FG 49-3y: the number of UL DCI to process per N consecutive slots of scheduling cell for a set of cells configured for multi-cell PUSCH scheduling by DCI format 0_3</w:t>
      </w:r>
    </w:p>
    <w:p w14:paraId="23953D3B" w14:textId="77777777" w:rsidR="0075667B" w:rsidRPr="00253342" w:rsidRDefault="0075667B" w:rsidP="0075667B">
      <w:pPr>
        <w:pStyle w:val="aff5"/>
        <w:numPr>
          <w:ilvl w:val="2"/>
          <w:numId w:val="22"/>
        </w:numPr>
        <w:rPr>
          <w:i/>
          <w:lang w:val="en-US" w:eastAsia="zh-CN"/>
        </w:rPr>
      </w:pPr>
      <w:r w:rsidRPr="00253342">
        <w:rPr>
          <w:i/>
          <w:lang w:val="en-US" w:eastAsia="zh-CN"/>
        </w:rPr>
        <w:t>For FDD scheduling cell, one DCI format 0_3 for the set of cells</w:t>
      </w:r>
    </w:p>
    <w:p w14:paraId="2F5AD388" w14:textId="77777777" w:rsidR="0075667B" w:rsidRPr="00253342" w:rsidRDefault="0075667B" w:rsidP="0075667B">
      <w:pPr>
        <w:pStyle w:val="aff5"/>
        <w:numPr>
          <w:ilvl w:val="2"/>
          <w:numId w:val="22"/>
        </w:numPr>
        <w:rPr>
          <w:i/>
          <w:lang w:val="en-US" w:eastAsia="zh-CN"/>
        </w:rPr>
      </w:pPr>
      <w:r w:rsidRPr="00253342">
        <w:rPr>
          <w:i/>
          <w:lang w:val="en-US" w:eastAsia="zh-CN"/>
        </w:rPr>
        <w:t>For TDD scheduling cell, two DCI format 0_3 for the set of cells</w:t>
      </w:r>
    </w:p>
    <w:p w14:paraId="4A71CCBE" w14:textId="77777777" w:rsidR="0075667B" w:rsidRPr="00253342" w:rsidRDefault="0075667B" w:rsidP="0075667B">
      <w:pPr>
        <w:pStyle w:val="aff5"/>
        <w:numPr>
          <w:ilvl w:val="2"/>
          <w:numId w:val="22"/>
        </w:numPr>
        <w:rPr>
          <w:i/>
          <w:lang w:val="en-US" w:eastAsia="zh-CN"/>
        </w:rPr>
      </w:pPr>
      <w:r w:rsidRPr="00253342">
        <w:rPr>
          <w:i/>
          <w:lang w:val="en-US" w:eastAsia="zh-CN"/>
        </w:rPr>
        <w:t>For low-to-high SCS, N = 1.</w:t>
      </w:r>
    </w:p>
    <w:p w14:paraId="0AC861AE" w14:textId="77777777" w:rsidR="0075667B" w:rsidRPr="00253342" w:rsidRDefault="0075667B" w:rsidP="0075667B">
      <w:pPr>
        <w:pStyle w:val="aff5"/>
        <w:numPr>
          <w:ilvl w:val="2"/>
          <w:numId w:val="22"/>
        </w:numPr>
        <w:rPr>
          <w:i/>
          <w:lang w:val="en-US" w:eastAsia="zh-CN"/>
        </w:rPr>
      </w:pPr>
      <w:r w:rsidRPr="00253342">
        <w:rPr>
          <w:i/>
          <w:lang w:val="en-US" w:eastAsia="zh-CN"/>
        </w:rPr>
        <w:t>For high-to-low SCS, N is based on pair of (scheduling CC SCS, scheduled CC SCS): N=2 for (30,15), (60,30), (120,60) and N=4 for (60,15), (120,30), N = 8 for (120,15)</w:t>
      </w:r>
    </w:p>
    <w:p w14:paraId="4457FCB8" w14:textId="77777777" w:rsidR="0075667B" w:rsidRDefault="0075667B" w:rsidP="0075667B">
      <w:pPr>
        <w:pStyle w:val="aff5"/>
        <w:numPr>
          <w:ilvl w:val="1"/>
          <w:numId w:val="20"/>
        </w:numPr>
        <w:rPr>
          <w:i/>
          <w:lang w:val="en-US" w:eastAsia="zh-CN"/>
        </w:rPr>
      </w:pPr>
      <w:r w:rsidRPr="00253342">
        <w:rPr>
          <w:i/>
          <w:lang w:val="en-US" w:eastAsia="zh-CN"/>
        </w:rPr>
        <w:t xml:space="preserve">Note: </w:t>
      </w:r>
      <w:r>
        <w:rPr>
          <w:i/>
          <w:lang w:val="en-US" w:eastAsia="zh-CN"/>
        </w:rPr>
        <w:t>T</w:t>
      </w:r>
      <w:r w:rsidRPr="00253342">
        <w:rPr>
          <w:i/>
          <w:lang w:val="en-US" w:eastAsia="zh-CN"/>
        </w:rPr>
        <w:t>he capability of single cell scheduling is not affected.</w:t>
      </w:r>
    </w:p>
    <w:p w14:paraId="7E86F4A2" w14:textId="77777777" w:rsidR="0075667B" w:rsidRPr="00253342" w:rsidRDefault="0075667B" w:rsidP="0075667B">
      <w:pPr>
        <w:pStyle w:val="aff5"/>
        <w:numPr>
          <w:ilvl w:val="1"/>
          <w:numId w:val="20"/>
        </w:numPr>
        <w:rPr>
          <w:i/>
          <w:lang w:val="en-US" w:eastAsia="zh-CN"/>
        </w:rPr>
      </w:pPr>
      <w:r>
        <w:rPr>
          <w:rFonts w:hint="eastAsia"/>
          <w:i/>
          <w:lang w:val="en-US" w:eastAsia="zh-CN"/>
        </w:rPr>
        <w:t>N</w:t>
      </w:r>
      <w:r>
        <w:rPr>
          <w:i/>
          <w:lang w:val="en-US" w:eastAsia="zh-CN"/>
        </w:rPr>
        <w:t xml:space="preserve">ote: The network may ignore the corresponding capability in FG 49-1/1B or FG 49-2/2b if </w:t>
      </w:r>
      <w:r w:rsidRPr="001A0C91">
        <w:rPr>
          <w:i/>
          <w:lang w:val="en-US" w:eastAsia="zh-CN"/>
        </w:rPr>
        <w:t>FG 49-3x or FG 49-3y</w:t>
      </w:r>
      <w:r>
        <w:rPr>
          <w:i/>
          <w:lang w:val="en-US" w:eastAsia="zh-CN"/>
        </w:rPr>
        <w:t xml:space="preserve"> is reported.</w:t>
      </w:r>
    </w:p>
    <w:p w14:paraId="7D16B089" w14:textId="77777777" w:rsidR="0075667B" w:rsidRDefault="0075667B" w:rsidP="0075667B">
      <w:pPr>
        <w:rPr>
          <w:i/>
          <w:lang w:eastAsia="zh-CN"/>
        </w:rPr>
      </w:pPr>
      <w:r>
        <w:rPr>
          <w:b/>
          <w:i/>
          <w:lang w:eastAsia="zh-CN"/>
        </w:rPr>
        <w:t>Proposal 4:</w:t>
      </w:r>
      <w:r>
        <w:rPr>
          <w:i/>
          <w:lang w:eastAsia="zh-CN"/>
        </w:rPr>
        <w:t xml:space="preserve"> For 49-5a/5b, the yellow part should be confirmed with the following modification.</w:t>
      </w:r>
    </w:p>
    <w:p w14:paraId="6A7F665D" w14:textId="77777777" w:rsidR="0075667B" w:rsidRDefault="0075667B" w:rsidP="0075667B">
      <w:pPr>
        <w:pStyle w:val="aff5"/>
        <w:numPr>
          <w:ilvl w:val="1"/>
          <w:numId w:val="20"/>
        </w:numPr>
        <w:rPr>
          <w:i/>
          <w:lang w:val="en-US" w:eastAsia="zh-CN"/>
        </w:rPr>
      </w:pPr>
      <w:r w:rsidRPr="00253342">
        <w:rPr>
          <w:i/>
          <w:lang w:val="en-US" w:eastAsia="zh-CN"/>
        </w:rPr>
        <w:t>FG 49-</w:t>
      </w:r>
      <w:r>
        <w:rPr>
          <w:i/>
          <w:lang w:val="en-US" w:eastAsia="zh-CN"/>
        </w:rPr>
        <w:t>5a</w:t>
      </w:r>
      <w:r w:rsidRPr="00253342">
        <w:rPr>
          <w:i/>
          <w:lang w:val="en-US" w:eastAsia="zh-CN"/>
        </w:rPr>
        <w:t xml:space="preserve">: </w:t>
      </w:r>
    </w:p>
    <w:p w14:paraId="3486DB85" w14:textId="77777777" w:rsidR="0075667B" w:rsidRDefault="0075667B" w:rsidP="0075667B">
      <w:pPr>
        <w:pStyle w:val="aff5"/>
        <w:numPr>
          <w:ilvl w:val="2"/>
          <w:numId w:val="22"/>
        </w:numPr>
        <w:rPr>
          <w:i/>
          <w:lang w:val="en-US" w:eastAsia="zh-CN"/>
        </w:rPr>
      </w:pPr>
      <w:r w:rsidRPr="00990C2B">
        <w:rPr>
          <w:i/>
          <w:lang w:val="en-US" w:eastAsia="zh-CN"/>
        </w:rPr>
        <w:t xml:space="preserve">Support feedback of type 3 HARQ-ACK codebook, triggered by a DCI 1_3 scheduling </w:t>
      </w:r>
      <w:r w:rsidRPr="00AA058A">
        <w:rPr>
          <w:i/>
          <w:lang w:val="en-US" w:eastAsia="zh-CN"/>
        </w:rPr>
        <w:t xml:space="preserve">at least </w:t>
      </w:r>
      <w:r w:rsidRPr="00990C2B">
        <w:rPr>
          <w:i/>
          <w:lang w:val="en-US" w:eastAsia="zh-CN"/>
        </w:rPr>
        <w:t>a PDSCH</w:t>
      </w:r>
      <w:r>
        <w:rPr>
          <w:i/>
          <w:lang w:val="en-US" w:eastAsia="zh-CN"/>
        </w:rPr>
        <w:t>.</w:t>
      </w:r>
    </w:p>
    <w:p w14:paraId="34A06013" w14:textId="5B5C46FA" w:rsidR="0075667B" w:rsidRDefault="0075667B" w:rsidP="0075667B">
      <w:pPr>
        <w:pStyle w:val="aff5"/>
        <w:numPr>
          <w:ilvl w:val="2"/>
          <w:numId w:val="22"/>
        </w:numPr>
        <w:rPr>
          <w:i/>
          <w:lang w:val="en-US" w:eastAsia="zh-CN"/>
        </w:rPr>
      </w:pPr>
      <w:r w:rsidRPr="00990C2B">
        <w:rPr>
          <w:i/>
          <w:lang w:val="en-US" w:eastAsia="zh-CN"/>
        </w:rPr>
        <w:t xml:space="preserve">Support feedback of type 3 HARQ-ACK codebook, triggered by a DCI 1_3 without scheduling </w:t>
      </w:r>
      <w:bookmarkStart w:id="4" w:name="_GoBack"/>
      <w:bookmarkEnd w:id="4"/>
      <w:r w:rsidRPr="00AA058A">
        <w:rPr>
          <w:i/>
          <w:lang w:val="en-US" w:eastAsia="zh-CN"/>
        </w:rPr>
        <w:t xml:space="preserve">any </w:t>
      </w:r>
      <w:r w:rsidRPr="00990C2B">
        <w:rPr>
          <w:i/>
          <w:lang w:val="en-US" w:eastAsia="zh-CN"/>
        </w:rPr>
        <w:t>PDSCH using a reserved FDRA value</w:t>
      </w:r>
    </w:p>
    <w:p w14:paraId="07927BD1" w14:textId="77777777" w:rsidR="0075667B" w:rsidRDefault="0075667B" w:rsidP="0075667B">
      <w:pPr>
        <w:pStyle w:val="aff5"/>
        <w:numPr>
          <w:ilvl w:val="1"/>
          <w:numId w:val="20"/>
        </w:numPr>
        <w:rPr>
          <w:i/>
          <w:lang w:val="en-US" w:eastAsia="zh-CN"/>
        </w:rPr>
      </w:pPr>
      <w:r>
        <w:rPr>
          <w:rFonts w:hint="eastAsia"/>
          <w:i/>
          <w:lang w:val="en-US" w:eastAsia="zh-CN"/>
        </w:rPr>
        <w:t>F</w:t>
      </w:r>
      <w:r>
        <w:rPr>
          <w:i/>
          <w:lang w:val="en-US" w:eastAsia="zh-CN"/>
        </w:rPr>
        <w:t>G 49-5b:</w:t>
      </w:r>
    </w:p>
    <w:p w14:paraId="5D52A9E9" w14:textId="05300817" w:rsidR="0088525D" w:rsidRPr="0075667B" w:rsidRDefault="0075667B" w:rsidP="003C2A05">
      <w:pPr>
        <w:pStyle w:val="aff5"/>
        <w:numPr>
          <w:ilvl w:val="2"/>
          <w:numId w:val="22"/>
        </w:numPr>
        <w:rPr>
          <w:iCs/>
          <w:lang w:eastAsia="zh-CN"/>
        </w:rPr>
      </w:pPr>
      <w:r w:rsidRPr="0075667B">
        <w:rPr>
          <w:rFonts w:hint="eastAsia"/>
          <w:i/>
          <w:lang w:val="en-US" w:eastAsia="zh-CN"/>
        </w:rPr>
        <w:t>T</w:t>
      </w:r>
      <w:r w:rsidRPr="0075667B">
        <w:rPr>
          <w:i/>
          <w:lang w:val="en-US" w:eastAsia="zh-CN"/>
        </w:rPr>
        <w:t>he UE should not report the number of enhanced Type-3 codebooks and the number of PUCCH transmission</w:t>
      </w:r>
    </w:p>
    <w:sectPr w:rsidR="0088525D" w:rsidRPr="0075667B">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4F678" w14:textId="77777777" w:rsidR="003B3043" w:rsidRDefault="003B3043">
      <w:pPr>
        <w:spacing w:after="0"/>
      </w:pPr>
      <w:r>
        <w:separator/>
      </w:r>
    </w:p>
  </w:endnote>
  <w:endnote w:type="continuationSeparator" w:id="0">
    <w:p w14:paraId="1AB6DED7" w14:textId="77777777" w:rsidR="003B3043" w:rsidRDefault="003B3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4162B799" w14:textId="77777777" w:rsidR="0088525D" w:rsidRDefault="00B81CA5">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032A4E6A" w14:textId="77777777" w:rsidR="0088525D" w:rsidRDefault="0088525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796A9" w14:textId="77777777" w:rsidR="003B3043" w:rsidRDefault="003B3043">
      <w:pPr>
        <w:spacing w:after="0"/>
      </w:pPr>
      <w:r>
        <w:separator/>
      </w:r>
    </w:p>
  </w:footnote>
  <w:footnote w:type="continuationSeparator" w:id="0">
    <w:p w14:paraId="0BAA16E1" w14:textId="77777777" w:rsidR="003B3043" w:rsidRDefault="003B30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717E19"/>
    <w:multiLevelType w:val="multilevel"/>
    <w:tmpl w:val="914227A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E668F1"/>
    <w:multiLevelType w:val="multilevel"/>
    <w:tmpl w:val="1FE668F1"/>
    <w:lvl w:ilvl="0">
      <w:start w:val="2"/>
      <w:numFmt w:val="bullet"/>
      <w:lvlText w:val="-"/>
      <w:lvlJc w:val="left"/>
      <w:pPr>
        <w:ind w:left="360" w:hanging="360"/>
      </w:pPr>
      <w:rPr>
        <w:rFonts w:ascii="Calibri" w:eastAsia="Yu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7AD31B5"/>
    <w:multiLevelType w:val="multilevel"/>
    <w:tmpl w:val="710411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D22C79"/>
    <w:multiLevelType w:val="multilevel"/>
    <w:tmpl w:val="94BEAD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C731C90"/>
    <w:multiLevelType w:val="multilevel"/>
    <w:tmpl w:val="E1FAF4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0"/>
  </w:num>
  <w:num w:numId="4">
    <w:abstractNumId w:val="13"/>
  </w:num>
  <w:num w:numId="5">
    <w:abstractNumId w:val="4"/>
  </w:num>
  <w:num w:numId="6">
    <w:abstractNumId w:val="3"/>
  </w:num>
  <w:num w:numId="7">
    <w:abstractNumId w:val="6"/>
  </w:num>
  <w:num w:numId="8">
    <w:abstractNumId w:val="20"/>
  </w:num>
  <w:num w:numId="9">
    <w:abstractNumId w:val="14"/>
  </w:num>
  <w:num w:numId="10">
    <w:abstractNumId w:val="7"/>
  </w:num>
  <w:num w:numId="11">
    <w:abstractNumId w:val="19"/>
  </w:num>
  <w:num w:numId="12">
    <w:abstractNumId w:val="18"/>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17"/>
  </w:num>
  <w:num w:numId="17">
    <w:abstractNumId w:val="11"/>
  </w:num>
  <w:num w:numId="18">
    <w:abstractNumId w:val="15"/>
  </w:num>
  <w:num w:numId="19">
    <w:abstractNumId w:val="1"/>
  </w:num>
  <w:num w:numId="20">
    <w:abstractNumId w:val="12"/>
  </w:num>
  <w:num w:numId="21">
    <w:abstractNumId w:val="2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086B"/>
    <w:rsid w:val="00017517"/>
    <w:rsid w:val="00017FEB"/>
    <w:rsid w:val="000210CE"/>
    <w:rsid w:val="0002618D"/>
    <w:rsid w:val="00026559"/>
    <w:rsid w:val="0003536C"/>
    <w:rsid w:val="00046A52"/>
    <w:rsid w:val="0005544A"/>
    <w:rsid w:val="00056C15"/>
    <w:rsid w:val="00060FE7"/>
    <w:rsid w:val="0006322E"/>
    <w:rsid w:val="000641E1"/>
    <w:rsid w:val="00070F3E"/>
    <w:rsid w:val="00074C6D"/>
    <w:rsid w:val="00075983"/>
    <w:rsid w:val="00086D47"/>
    <w:rsid w:val="00093FC0"/>
    <w:rsid w:val="000A26BD"/>
    <w:rsid w:val="000A548C"/>
    <w:rsid w:val="000A5F9B"/>
    <w:rsid w:val="000B32BE"/>
    <w:rsid w:val="000D60BA"/>
    <w:rsid w:val="000E037D"/>
    <w:rsid w:val="000E22CA"/>
    <w:rsid w:val="000E5382"/>
    <w:rsid w:val="000F1633"/>
    <w:rsid w:val="001215BB"/>
    <w:rsid w:val="00130F91"/>
    <w:rsid w:val="00155BA0"/>
    <w:rsid w:val="00155E27"/>
    <w:rsid w:val="0015633E"/>
    <w:rsid w:val="00161D8E"/>
    <w:rsid w:val="00162D5A"/>
    <w:rsid w:val="001759C8"/>
    <w:rsid w:val="001801A4"/>
    <w:rsid w:val="00180A36"/>
    <w:rsid w:val="001844A0"/>
    <w:rsid w:val="001A0C91"/>
    <w:rsid w:val="001A4C3D"/>
    <w:rsid w:val="001A5D72"/>
    <w:rsid w:val="001B23F5"/>
    <w:rsid w:val="001B6A64"/>
    <w:rsid w:val="001C3BF2"/>
    <w:rsid w:val="001C7DE1"/>
    <w:rsid w:val="001D3C86"/>
    <w:rsid w:val="001D5B86"/>
    <w:rsid w:val="001E2C04"/>
    <w:rsid w:val="0020058A"/>
    <w:rsid w:val="0020269C"/>
    <w:rsid w:val="002034E0"/>
    <w:rsid w:val="00203AFE"/>
    <w:rsid w:val="00217ABD"/>
    <w:rsid w:val="00220FC6"/>
    <w:rsid w:val="00244B96"/>
    <w:rsid w:val="00253342"/>
    <w:rsid w:val="002641BB"/>
    <w:rsid w:val="0027445E"/>
    <w:rsid w:val="002904DA"/>
    <w:rsid w:val="002926C3"/>
    <w:rsid w:val="002B21B5"/>
    <w:rsid w:val="002C1FFA"/>
    <w:rsid w:val="002C6359"/>
    <w:rsid w:val="002D0B7E"/>
    <w:rsid w:val="002D6A9A"/>
    <w:rsid w:val="002F65FC"/>
    <w:rsid w:val="00311D72"/>
    <w:rsid w:val="00324023"/>
    <w:rsid w:val="003264B7"/>
    <w:rsid w:val="0034301E"/>
    <w:rsid w:val="003526C9"/>
    <w:rsid w:val="003574C8"/>
    <w:rsid w:val="00383E65"/>
    <w:rsid w:val="003851C2"/>
    <w:rsid w:val="00391338"/>
    <w:rsid w:val="003A0A10"/>
    <w:rsid w:val="003A4F2B"/>
    <w:rsid w:val="003B265D"/>
    <w:rsid w:val="003B3043"/>
    <w:rsid w:val="003B316E"/>
    <w:rsid w:val="003B7E9D"/>
    <w:rsid w:val="003C18B7"/>
    <w:rsid w:val="003C6894"/>
    <w:rsid w:val="003C6990"/>
    <w:rsid w:val="003D332B"/>
    <w:rsid w:val="003D3B04"/>
    <w:rsid w:val="003D434B"/>
    <w:rsid w:val="003D4E84"/>
    <w:rsid w:val="003D7710"/>
    <w:rsid w:val="00410D76"/>
    <w:rsid w:val="00412A46"/>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C6C11"/>
    <w:rsid w:val="004D5C41"/>
    <w:rsid w:val="004E0805"/>
    <w:rsid w:val="004E0EE6"/>
    <w:rsid w:val="004E259B"/>
    <w:rsid w:val="004E5D34"/>
    <w:rsid w:val="004F2EBF"/>
    <w:rsid w:val="004F3810"/>
    <w:rsid w:val="00520437"/>
    <w:rsid w:val="0053095B"/>
    <w:rsid w:val="00531A4F"/>
    <w:rsid w:val="00535043"/>
    <w:rsid w:val="00535371"/>
    <w:rsid w:val="00536451"/>
    <w:rsid w:val="005446B1"/>
    <w:rsid w:val="00546597"/>
    <w:rsid w:val="00564D3B"/>
    <w:rsid w:val="00572389"/>
    <w:rsid w:val="005926FA"/>
    <w:rsid w:val="005A5996"/>
    <w:rsid w:val="005D20F1"/>
    <w:rsid w:val="005D4821"/>
    <w:rsid w:val="005E719D"/>
    <w:rsid w:val="005F0F8A"/>
    <w:rsid w:val="005F1C73"/>
    <w:rsid w:val="006017DD"/>
    <w:rsid w:val="006035C5"/>
    <w:rsid w:val="006041B9"/>
    <w:rsid w:val="0061174C"/>
    <w:rsid w:val="006145D0"/>
    <w:rsid w:val="00620BBF"/>
    <w:rsid w:val="0062130F"/>
    <w:rsid w:val="0062719C"/>
    <w:rsid w:val="00634DD9"/>
    <w:rsid w:val="00635EFA"/>
    <w:rsid w:val="00640EE2"/>
    <w:rsid w:val="00645EDB"/>
    <w:rsid w:val="0065039A"/>
    <w:rsid w:val="00651E5D"/>
    <w:rsid w:val="006632A9"/>
    <w:rsid w:val="00670B87"/>
    <w:rsid w:val="00673C4E"/>
    <w:rsid w:val="00681AF7"/>
    <w:rsid w:val="006821AF"/>
    <w:rsid w:val="00690330"/>
    <w:rsid w:val="00693C1C"/>
    <w:rsid w:val="006A05F1"/>
    <w:rsid w:val="006A1E76"/>
    <w:rsid w:val="006A357B"/>
    <w:rsid w:val="006B00DB"/>
    <w:rsid w:val="006B0DF0"/>
    <w:rsid w:val="006B5B2B"/>
    <w:rsid w:val="006C08DE"/>
    <w:rsid w:val="006C2BCB"/>
    <w:rsid w:val="006C6DA0"/>
    <w:rsid w:val="006D6F87"/>
    <w:rsid w:val="006D78EE"/>
    <w:rsid w:val="006D7B11"/>
    <w:rsid w:val="006E00D0"/>
    <w:rsid w:val="006E4B5C"/>
    <w:rsid w:val="006E74B6"/>
    <w:rsid w:val="006F482C"/>
    <w:rsid w:val="006F5CA1"/>
    <w:rsid w:val="007004DD"/>
    <w:rsid w:val="00716227"/>
    <w:rsid w:val="0071657F"/>
    <w:rsid w:val="00727079"/>
    <w:rsid w:val="00731233"/>
    <w:rsid w:val="00733595"/>
    <w:rsid w:val="00736960"/>
    <w:rsid w:val="00737633"/>
    <w:rsid w:val="00750168"/>
    <w:rsid w:val="00752E1E"/>
    <w:rsid w:val="0075667B"/>
    <w:rsid w:val="007604D8"/>
    <w:rsid w:val="00766E52"/>
    <w:rsid w:val="007676F4"/>
    <w:rsid w:val="00767EDA"/>
    <w:rsid w:val="007967DD"/>
    <w:rsid w:val="007A45E4"/>
    <w:rsid w:val="007A55B2"/>
    <w:rsid w:val="007A606E"/>
    <w:rsid w:val="007A6A20"/>
    <w:rsid w:val="007B776F"/>
    <w:rsid w:val="007D1CDA"/>
    <w:rsid w:val="007D504C"/>
    <w:rsid w:val="007D5BCC"/>
    <w:rsid w:val="007D65DF"/>
    <w:rsid w:val="007E5B54"/>
    <w:rsid w:val="007F4274"/>
    <w:rsid w:val="00803465"/>
    <w:rsid w:val="00804CF0"/>
    <w:rsid w:val="008062A6"/>
    <w:rsid w:val="00806409"/>
    <w:rsid w:val="00813EDB"/>
    <w:rsid w:val="00815534"/>
    <w:rsid w:val="00820CD8"/>
    <w:rsid w:val="008330CA"/>
    <w:rsid w:val="00837EAA"/>
    <w:rsid w:val="00842C43"/>
    <w:rsid w:val="0084582E"/>
    <w:rsid w:val="00846E2B"/>
    <w:rsid w:val="00853F0C"/>
    <w:rsid w:val="0085647B"/>
    <w:rsid w:val="00861D70"/>
    <w:rsid w:val="00862C80"/>
    <w:rsid w:val="008733B4"/>
    <w:rsid w:val="0088525D"/>
    <w:rsid w:val="00893414"/>
    <w:rsid w:val="0089761C"/>
    <w:rsid w:val="008A5B38"/>
    <w:rsid w:val="008A716E"/>
    <w:rsid w:val="008B1B61"/>
    <w:rsid w:val="008E13BB"/>
    <w:rsid w:val="00903325"/>
    <w:rsid w:val="00910C20"/>
    <w:rsid w:val="00910F42"/>
    <w:rsid w:val="00911803"/>
    <w:rsid w:val="00913AA3"/>
    <w:rsid w:val="00922CCF"/>
    <w:rsid w:val="00927596"/>
    <w:rsid w:val="00927601"/>
    <w:rsid w:val="00947924"/>
    <w:rsid w:val="00952185"/>
    <w:rsid w:val="00990269"/>
    <w:rsid w:val="00990C2B"/>
    <w:rsid w:val="0099378B"/>
    <w:rsid w:val="00994A55"/>
    <w:rsid w:val="009951A9"/>
    <w:rsid w:val="0099701A"/>
    <w:rsid w:val="009A6235"/>
    <w:rsid w:val="009B619B"/>
    <w:rsid w:val="009D062C"/>
    <w:rsid w:val="009D7F9D"/>
    <w:rsid w:val="009E03CA"/>
    <w:rsid w:val="009E5A30"/>
    <w:rsid w:val="009F0111"/>
    <w:rsid w:val="009F1CBC"/>
    <w:rsid w:val="009F7EF9"/>
    <w:rsid w:val="00A0246D"/>
    <w:rsid w:val="00A0555A"/>
    <w:rsid w:val="00A059C7"/>
    <w:rsid w:val="00A136F9"/>
    <w:rsid w:val="00A16BDE"/>
    <w:rsid w:val="00A23AC4"/>
    <w:rsid w:val="00A2589D"/>
    <w:rsid w:val="00A26796"/>
    <w:rsid w:val="00A361F7"/>
    <w:rsid w:val="00A37810"/>
    <w:rsid w:val="00A40B5B"/>
    <w:rsid w:val="00A44637"/>
    <w:rsid w:val="00A5303A"/>
    <w:rsid w:val="00A61671"/>
    <w:rsid w:val="00A645C3"/>
    <w:rsid w:val="00A72ADF"/>
    <w:rsid w:val="00A7305F"/>
    <w:rsid w:val="00A737C8"/>
    <w:rsid w:val="00A7446C"/>
    <w:rsid w:val="00A9321D"/>
    <w:rsid w:val="00A93F73"/>
    <w:rsid w:val="00AA058A"/>
    <w:rsid w:val="00AC1087"/>
    <w:rsid w:val="00AC2E8B"/>
    <w:rsid w:val="00AC3166"/>
    <w:rsid w:val="00AC339A"/>
    <w:rsid w:val="00AC5622"/>
    <w:rsid w:val="00AD62FF"/>
    <w:rsid w:val="00AD762A"/>
    <w:rsid w:val="00AE532D"/>
    <w:rsid w:val="00AF2325"/>
    <w:rsid w:val="00AF27D7"/>
    <w:rsid w:val="00AF413A"/>
    <w:rsid w:val="00AF6ED7"/>
    <w:rsid w:val="00AF7C9E"/>
    <w:rsid w:val="00B02A1C"/>
    <w:rsid w:val="00B05AD5"/>
    <w:rsid w:val="00B148A6"/>
    <w:rsid w:val="00B15576"/>
    <w:rsid w:val="00B157C6"/>
    <w:rsid w:val="00B17942"/>
    <w:rsid w:val="00B27ABA"/>
    <w:rsid w:val="00B35130"/>
    <w:rsid w:val="00B35681"/>
    <w:rsid w:val="00B36ECF"/>
    <w:rsid w:val="00B41A16"/>
    <w:rsid w:val="00B4222D"/>
    <w:rsid w:val="00B43309"/>
    <w:rsid w:val="00B70246"/>
    <w:rsid w:val="00B73564"/>
    <w:rsid w:val="00B77375"/>
    <w:rsid w:val="00B81C77"/>
    <w:rsid w:val="00B81CA5"/>
    <w:rsid w:val="00BA453E"/>
    <w:rsid w:val="00BC24E7"/>
    <w:rsid w:val="00BD0199"/>
    <w:rsid w:val="00BD2263"/>
    <w:rsid w:val="00BD33A8"/>
    <w:rsid w:val="00BD5B8B"/>
    <w:rsid w:val="00BE0C32"/>
    <w:rsid w:val="00BF1280"/>
    <w:rsid w:val="00C12E7E"/>
    <w:rsid w:val="00C13FF4"/>
    <w:rsid w:val="00C32781"/>
    <w:rsid w:val="00C40101"/>
    <w:rsid w:val="00C46F3C"/>
    <w:rsid w:val="00C47FD3"/>
    <w:rsid w:val="00C56E74"/>
    <w:rsid w:val="00C611DA"/>
    <w:rsid w:val="00C638EC"/>
    <w:rsid w:val="00C668D5"/>
    <w:rsid w:val="00C80798"/>
    <w:rsid w:val="00C91E19"/>
    <w:rsid w:val="00C96BDD"/>
    <w:rsid w:val="00CC1438"/>
    <w:rsid w:val="00CC5A7A"/>
    <w:rsid w:val="00CD05DC"/>
    <w:rsid w:val="00CD585B"/>
    <w:rsid w:val="00CD5ABA"/>
    <w:rsid w:val="00CE435E"/>
    <w:rsid w:val="00CF03B6"/>
    <w:rsid w:val="00CF5098"/>
    <w:rsid w:val="00D06B02"/>
    <w:rsid w:val="00D0767C"/>
    <w:rsid w:val="00D11338"/>
    <w:rsid w:val="00D118C9"/>
    <w:rsid w:val="00D262DF"/>
    <w:rsid w:val="00D40DCE"/>
    <w:rsid w:val="00D4128B"/>
    <w:rsid w:val="00D44FCE"/>
    <w:rsid w:val="00D50E01"/>
    <w:rsid w:val="00D5513D"/>
    <w:rsid w:val="00D56B97"/>
    <w:rsid w:val="00D57108"/>
    <w:rsid w:val="00D6039B"/>
    <w:rsid w:val="00D610E9"/>
    <w:rsid w:val="00D63560"/>
    <w:rsid w:val="00D667A3"/>
    <w:rsid w:val="00D679B1"/>
    <w:rsid w:val="00D72C3B"/>
    <w:rsid w:val="00D7392B"/>
    <w:rsid w:val="00D81F6D"/>
    <w:rsid w:val="00D833C0"/>
    <w:rsid w:val="00D83F3C"/>
    <w:rsid w:val="00D843CD"/>
    <w:rsid w:val="00DA40AD"/>
    <w:rsid w:val="00DA6869"/>
    <w:rsid w:val="00DB413C"/>
    <w:rsid w:val="00DC0155"/>
    <w:rsid w:val="00DC2AE4"/>
    <w:rsid w:val="00DD0409"/>
    <w:rsid w:val="00DD7600"/>
    <w:rsid w:val="00DE3004"/>
    <w:rsid w:val="00DF404A"/>
    <w:rsid w:val="00DF52B4"/>
    <w:rsid w:val="00DF5800"/>
    <w:rsid w:val="00E0053B"/>
    <w:rsid w:val="00E006FC"/>
    <w:rsid w:val="00E119A3"/>
    <w:rsid w:val="00E133C3"/>
    <w:rsid w:val="00E20FCD"/>
    <w:rsid w:val="00E24816"/>
    <w:rsid w:val="00E31118"/>
    <w:rsid w:val="00E34506"/>
    <w:rsid w:val="00E42731"/>
    <w:rsid w:val="00E44A17"/>
    <w:rsid w:val="00E5373A"/>
    <w:rsid w:val="00E554B3"/>
    <w:rsid w:val="00E56267"/>
    <w:rsid w:val="00E673B2"/>
    <w:rsid w:val="00E746A1"/>
    <w:rsid w:val="00E8105E"/>
    <w:rsid w:val="00E85FC6"/>
    <w:rsid w:val="00E927CC"/>
    <w:rsid w:val="00EA0F6D"/>
    <w:rsid w:val="00EC08CE"/>
    <w:rsid w:val="00EC1227"/>
    <w:rsid w:val="00EC5105"/>
    <w:rsid w:val="00ED5664"/>
    <w:rsid w:val="00ED61F5"/>
    <w:rsid w:val="00EF78FC"/>
    <w:rsid w:val="00EF799E"/>
    <w:rsid w:val="00F04F0E"/>
    <w:rsid w:val="00F07C4E"/>
    <w:rsid w:val="00F143FF"/>
    <w:rsid w:val="00F1440D"/>
    <w:rsid w:val="00F17F2A"/>
    <w:rsid w:val="00F20123"/>
    <w:rsid w:val="00F20615"/>
    <w:rsid w:val="00F2238C"/>
    <w:rsid w:val="00F3139D"/>
    <w:rsid w:val="00F36529"/>
    <w:rsid w:val="00F37C8D"/>
    <w:rsid w:val="00F4080D"/>
    <w:rsid w:val="00F45EED"/>
    <w:rsid w:val="00F51263"/>
    <w:rsid w:val="00F56022"/>
    <w:rsid w:val="00F62507"/>
    <w:rsid w:val="00F6288A"/>
    <w:rsid w:val="00F62AF3"/>
    <w:rsid w:val="00F7068F"/>
    <w:rsid w:val="00F707BF"/>
    <w:rsid w:val="00F71AE4"/>
    <w:rsid w:val="00F746AC"/>
    <w:rsid w:val="00F754BB"/>
    <w:rsid w:val="00F83487"/>
    <w:rsid w:val="00F85218"/>
    <w:rsid w:val="00F94D4B"/>
    <w:rsid w:val="00FA210F"/>
    <w:rsid w:val="00FA2AC6"/>
    <w:rsid w:val="00FC2BD9"/>
    <w:rsid w:val="00FD3E27"/>
    <w:rsid w:val="00FD6B32"/>
    <w:rsid w:val="00FE36D3"/>
    <w:rsid w:val="00FF146B"/>
    <w:rsid w:val="00FF3E99"/>
    <w:rsid w:val="02985E84"/>
    <w:rsid w:val="04493554"/>
    <w:rsid w:val="0A246F86"/>
    <w:rsid w:val="0E8547F7"/>
    <w:rsid w:val="0F791E68"/>
    <w:rsid w:val="10665F0D"/>
    <w:rsid w:val="1524112C"/>
    <w:rsid w:val="188D3BD1"/>
    <w:rsid w:val="1A4B3009"/>
    <w:rsid w:val="1AD04E0B"/>
    <w:rsid w:val="1FB73DFC"/>
    <w:rsid w:val="22A0138E"/>
    <w:rsid w:val="305A6DDB"/>
    <w:rsid w:val="30F526BD"/>
    <w:rsid w:val="346212CD"/>
    <w:rsid w:val="34880F47"/>
    <w:rsid w:val="357A5C9B"/>
    <w:rsid w:val="35B504B1"/>
    <w:rsid w:val="39E43B1E"/>
    <w:rsid w:val="39E75F08"/>
    <w:rsid w:val="3BBC2004"/>
    <w:rsid w:val="3FB63057"/>
    <w:rsid w:val="40976EB6"/>
    <w:rsid w:val="41C717DC"/>
    <w:rsid w:val="44A313E2"/>
    <w:rsid w:val="45A27568"/>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BD61442"/>
    <w:rsid w:val="6DB4669B"/>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B43C"/>
  <w15:docId w15:val="{DB538C06-6086-4284-86DE-BE43E16E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1c">
    <w:name w:val="列表段落1"/>
    <w:basedOn w:val="a"/>
    <w:qFormat/>
    <w:pPr>
      <w:snapToGrid/>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1054">
      <w:bodyDiv w:val="1"/>
      <w:marLeft w:val="0"/>
      <w:marRight w:val="0"/>
      <w:marTop w:val="0"/>
      <w:marBottom w:val="0"/>
      <w:divBdr>
        <w:top w:val="none" w:sz="0" w:space="0" w:color="auto"/>
        <w:left w:val="none" w:sz="0" w:space="0" w:color="auto"/>
        <w:bottom w:val="none" w:sz="0" w:space="0" w:color="auto"/>
        <w:right w:val="none" w:sz="0" w:space="0" w:color="auto"/>
      </w:divBdr>
      <w:divsChild>
        <w:div w:id="912620039">
          <w:marLeft w:val="0"/>
          <w:marRight w:val="0"/>
          <w:marTop w:val="0"/>
          <w:marBottom w:val="0"/>
          <w:divBdr>
            <w:top w:val="none" w:sz="0" w:space="0" w:color="auto"/>
            <w:left w:val="none" w:sz="0" w:space="0" w:color="auto"/>
            <w:bottom w:val="none" w:sz="0" w:space="0" w:color="auto"/>
            <w:right w:val="none" w:sz="0" w:space="0" w:color="auto"/>
          </w:divBdr>
          <w:divsChild>
            <w:div w:id="82906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558822">
      <w:bodyDiv w:val="1"/>
      <w:marLeft w:val="0"/>
      <w:marRight w:val="0"/>
      <w:marTop w:val="0"/>
      <w:marBottom w:val="0"/>
      <w:divBdr>
        <w:top w:val="none" w:sz="0" w:space="0" w:color="auto"/>
        <w:left w:val="none" w:sz="0" w:space="0" w:color="auto"/>
        <w:bottom w:val="none" w:sz="0" w:space="0" w:color="auto"/>
        <w:right w:val="none" w:sz="0" w:space="0" w:color="auto"/>
      </w:divBdr>
    </w:div>
    <w:div w:id="668875196">
      <w:bodyDiv w:val="1"/>
      <w:marLeft w:val="0"/>
      <w:marRight w:val="0"/>
      <w:marTop w:val="0"/>
      <w:marBottom w:val="0"/>
      <w:divBdr>
        <w:top w:val="none" w:sz="0" w:space="0" w:color="auto"/>
        <w:left w:val="none" w:sz="0" w:space="0" w:color="auto"/>
        <w:bottom w:val="none" w:sz="0" w:space="0" w:color="auto"/>
        <w:right w:val="none" w:sz="0" w:space="0" w:color="auto"/>
      </w:divBdr>
    </w:div>
    <w:div w:id="688333398">
      <w:bodyDiv w:val="1"/>
      <w:marLeft w:val="0"/>
      <w:marRight w:val="0"/>
      <w:marTop w:val="0"/>
      <w:marBottom w:val="0"/>
      <w:divBdr>
        <w:top w:val="none" w:sz="0" w:space="0" w:color="auto"/>
        <w:left w:val="none" w:sz="0" w:space="0" w:color="auto"/>
        <w:bottom w:val="none" w:sz="0" w:space="0" w:color="auto"/>
        <w:right w:val="none" w:sz="0" w:space="0" w:color="auto"/>
      </w:divBdr>
    </w:div>
    <w:div w:id="936526062">
      <w:bodyDiv w:val="1"/>
      <w:marLeft w:val="0"/>
      <w:marRight w:val="0"/>
      <w:marTop w:val="0"/>
      <w:marBottom w:val="0"/>
      <w:divBdr>
        <w:top w:val="none" w:sz="0" w:space="0" w:color="auto"/>
        <w:left w:val="none" w:sz="0" w:space="0" w:color="auto"/>
        <w:bottom w:val="none" w:sz="0" w:space="0" w:color="auto"/>
        <w:right w:val="none" w:sz="0" w:space="0" w:color="auto"/>
      </w:divBdr>
    </w:div>
    <w:div w:id="1073888544">
      <w:bodyDiv w:val="1"/>
      <w:marLeft w:val="0"/>
      <w:marRight w:val="0"/>
      <w:marTop w:val="0"/>
      <w:marBottom w:val="0"/>
      <w:divBdr>
        <w:top w:val="none" w:sz="0" w:space="0" w:color="auto"/>
        <w:left w:val="none" w:sz="0" w:space="0" w:color="auto"/>
        <w:bottom w:val="none" w:sz="0" w:space="0" w:color="auto"/>
        <w:right w:val="none" w:sz="0" w:space="0" w:color="auto"/>
      </w:divBdr>
    </w:div>
    <w:div w:id="1159809022">
      <w:bodyDiv w:val="1"/>
      <w:marLeft w:val="0"/>
      <w:marRight w:val="0"/>
      <w:marTop w:val="0"/>
      <w:marBottom w:val="0"/>
      <w:divBdr>
        <w:top w:val="none" w:sz="0" w:space="0" w:color="auto"/>
        <w:left w:val="none" w:sz="0" w:space="0" w:color="auto"/>
        <w:bottom w:val="none" w:sz="0" w:space="0" w:color="auto"/>
        <w:right w:val="none" w:sz="0" w:space="0" w:color="auto"/>
      </w:divBdr>
    </w:div>
    <w:div w:id="1408068947">
      <w:bodyDiv w:val="1"/>
      <w:marLeft w:val="0"/>
      <w:marRight w:val="0"/>
      <w:marTop w:val="0"/>
      <w:marBottom w:val="0"/>
      <w:divBdr>
        <w:top w:val="none" w:sz="0" w:space="0" w:color="auto"/>
        <w:left w:val="none" w:sz="0" w:space="0" w:color="auto"/>
        <w:bottom w:val="none" w:sz="0" w:space="0" w:color="auto"/>
        <w:right w:val="none" w:sz="0" w:space="0" w:color="auto"/>
      </w:divBdr>
    </w:div>
    <w:div w:id="1682969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109CD-CF68-489D-BFA7-BDF35912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1471</Words>
  <Characters>8389</Characters>
  <Application>Microsoft Office Word</Application>
  <DocSecurity>0</DocSecurity>
  <Lines>69</Lines>
  <Paragraphs>19</Paragraphs>
  <ScaleCrop>false</ScaleCrop>
  <Company>ZTE Corporation</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138</cp:revision>
  <cp:lastPrinted>2002-04-23T01:10:00Z</cp:lastPrinted>
  <dcterms:created xsi:type="dcterms:W3CDTF">2023-03-28T11:43:00Z</dcterms:created>
  <dcterms:modified xsi:type="dcterms:W3CDTF">2024-02-19T07:20:00Z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